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F3CC" w14:textId="2C0FF05D" w:rsidR="00087893" w:rsidRPr="006E1181" w:rsidRDefault="00087893" w:rsidP="005A54A7">
      <w:pPr>
        <w:pStyle w:val="Default"/>
        <w:spacing w:after="100"/>
        <w:rPr>
          <w:color w:val="004B85"/>
          <w:sz w:val="36"/>
          <w:szCs w:val="36"/>
        </w:rPr>
      </w:pPr>
      <w:r w:rsidRPr="006E1181">
        <w:rPr>
          <w:color w:val="004B85"/>
          <w:sz w:val="36"/>
          <w:szCs w:val="36"/>
        </w:rPr>
        <w:t>Student</w:t>
      </w:r>
      <w:r w:rsidR="00943E35" w:rsidRPr="006E1181">
        <w:rPr>
          <w:color w:val="004B85"/>
          <w:sz w:val="36"/>
          <w:szCs w:val="36"/>
        </w:rPr>
        <w:t xml:space="preserve"> </w:t>
      </w:r>
      <w:r w:rsidR="00943E35" w:rsidRPr="004B19BA">
        <w:rPr>
          <w:color w:val="004B85"/>
          <w:sz w:val="36"/>
          <w:szCs w:val="36"/>
        </w:rPr>
        <w:t>Services</w:t>
      </w:r>
      <w:r w:rsidR="00943E35" w:rsidRPr="006E1181">
        <w:rPr>
          <w:color w:val="004B85"/>
          <w:sz w:val="36"/>
          <w:szCs w:val="36"/>
        </w:rPr>
        <w:t xml:space="preserve"> and Amenities Fee 20</w:t>
      </w:r>
      <w:r w:rsidR="004F6328" w:rsidRPr="006E1181">
        <w:rPr>
          <w:color w:val="004B85"/>
          <w:sz w:val="36"/>
          <w:szCs w:val="36"/>
        </w:rPr>
        <w:t>2</w:t>
      </w:r>
      <w:r w:rsidR="0030682A" w:rsidRPr="006E1181">
        <w:rPr>
          <w:color w:val="004B85"/>
          <w:sz w:val="36"/>
          <w:szCs w:val="36"/>
        </w:rPr>
        <w:t>3</w:t>
      </w:r>
      <w:r w:rsidR="00D8766D" w:rsidRPr="006E1181">
        <w:rPr>
          <w:color w:val="004B85"/>
          <w:sz w:val="36"/>
          <w:szCs w:val="36"/>
        </w:rPr>
        <w:t>:</w:t>
      </w:r>
      <w:r w:rsidRPr="006E1181">
        <w:rPr>
          <w:color w:val="004B85"/>
          <w:sz w:val="36"/>
          <w:szCs w:val="36"/>
        </w:rPr>
        <w:t xml:space="preserve"> </w:t>
      </w:r>
      <w:r w:rsidR="00F94445" w:rsidRPr="006E1181">
        <w:rPr>
          <w:color w:val="004B85"/>
          <w:sz w:val="36"/>
          <w:szCs w:val="36"/>
        </w:rPr>
        <w:t>d</w:t>
      </w:r>
      <w:r w:rsidRPr="006E1181">
        <w:rPr>
          <w:color w:val="004B85"/>
          <w:sz w:val="36"/>
          <w:szCs w:val="36"/>
        </w:rPr>
        <w:t>raft funding priorities for student feedback</w:t>
      </w:r>
    </w:p>
    <w:p w14:paraId="6BFB923D" w14:textId="35B26E5E" w:rsidR="00087893" w:rsidRDefault="00087893" w:rsidP="0043222B">
      <w:pPr>
        <w:pStyle w:val="Default"/>
        <w:spacing w:after="100"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The Student Services and Amenities Fee (SSAF) was implemented at Edith Cowan University in 2012. In order to determine how income from the </w:t>
      </w:r>
      <w:r w:rsidR="00F94445">
        <w:rPr>
          <w:sz w:val="20"/>
          <w:szCs w:val="20"/>
        </w:rPr>
        <w:t>SSAF</w:t>
      </w:r>
      <w:r>
        <w:rPr>
          <w:sz w:val="20"/>
          <w:szCs w:val="20"/>
        </w:rPr>
        <w:t xml:space="preserve"> is spent, the SSAF </w:t>
      </w:r>
      <w:r w:rsidR="009156FB">
        <w:rPr>
          <w:sz w:val="20"/>
          <w:szCs w:val="20"/>
        </w:rPr>
        <w:t xml:space="preserve">Advisory Forum </w:t>
      </w:r>
      <w:r>
        <w:rPr>
          <w:sz w:val="20"/>
          <w:szCs w:val="20"/>
        </w:rPr>
        <w:t xml:space="preserve">– which consists of members of University management, the ECU Student </w:t>
      </w:r>
      <w:proofErr w:type="gramStart"/>
      <w:r>
        <w:rPr>
          <w:sz w:val="20"/>
          <w:szCs w:val="20"/>
        </w:rPr>
        <w:t>Guild</w:t>
      </w:r>
      <w:proofErr w:type="gramEnd"/>
      <w:r>
        <w:rPr>
          <w:sz w:val="20"/>
          <w:szCs w:val="20"/>
        </w:rPr>
        <w:t xml:space="preserve"> and an elected student member of University Council – </w:t>
      </w:r>
      <w:r w:rsidR="0043222B">
        <w:rPr>
          <w:sz w:val="20"/>
          <w:szCs w:val="20"/>
        </w:rPr>
        <w:t>discusses</w:t>
      </w:r>
      <w:r>
        <w:rPr>
          <w:sz w:val="20"/>
          <w:szCs w:val="20"/>
        </w:rPr>
        <w:t xml:space="preserve"> how to prioritise expenditure across the range of student services and amenities at ECU, and how and by whom </w:t>
      </w:r>
      <w:r w:rsidR="00CD1A31">
        <w:rPr>
          <w:sz w:val="20"/>
          <w:szCs w:val="20"/>
        </w:rPr>
        <w:t>the services and amenities</w:t>
      </w:r>
      <w:r w:rsidR="0043222B">
        <w:rPr>
          <w:sz w:val="20"/>
          <w:szCs w:val="20"/>
        </w:rPr>
        <w:t xml:space="preserve"> should be provided. </w:t>
      </w:r>
      <w:r>
        <w:rPr>
          <w:sz w:val="20"/>
          <w:szCs w:val="20"/>
        </w:rPr>
        <w:t xml:space="preserve">The </w:t>
      </w:r>
      <w:r w:rsidR="00B7390D">
        <w:rPr>
          <w:sz w:val="20"/>
          <w:szCs w:val="20"/>
        </w:rPr>
        <w:t xml:space="preserve">Advisory Forum </w:t>
      </w:r>
      <w:r w:rsidR="00943E35">
        <w:rPr>
          <w:sz w:val="20"/>
          <w:szCs w:val="20"/>
        </w:rPr>
        <w:t>proposes</w:t>
      </w:r>
      <w:r>
        <w:rPr>
          <w:sz w:val="20"/>
          <w:szCs w:val="20"/>
        </w:rPr>
        <w:t xml:space="preserve"> to prioritise SSAF expenditure in the areas listed </w:t>
      </w:r>
      <w:r w:rsidRPr="002859C3">
        <w:rPr>
          <w:sz w:val="20"/>
          <w:szCs w:val="20"/>
        </w:rPr>
        <w:t>below.</w:t>
      </w:r>
    </w:p>
    <w:tbl>
      <w:tblPr>
        <w:tblStyle w:val="TableGrid"/>
        <w:tblW w:w="0" w:type="auto"/>
        <w:tblBorders>
          <w:top w:val="single" w:sz="12" w:space="0" w:color="004B85"/>
          <w:left w:val="none" w:sz="0" w:space="0" w:color="auto"/>
          <w:bottom w:val="single" w:sz="12" w:space="0" w:color="004B85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2860"/>
      </w:tblGrid>
      <w:tr w:rsidR="002859C3" w:rsidRPr="00C72EF4" w14:paraId="7B7ABA3D" w14:textId="77777777" w:rsidTr="001848F3">
        <w:trPr>
          <w:trHeight w:val="1145"/>
        </w:trPr>
        <w:tc>
          <w:tcPr>
            <w:tcW w:w="12860" w:type="dxa"/>
            <w:shd w:val="clear" w:color="auto" w:fill="auto"/>
          </w:tcPr>
          <w:p w14:paraId="2CCEE76E" w14:textId="77777777" w:rsidR="002859C3" w:rsidRPr="006E1181" w:rsidRDefault="002859C3" w:rsidP="00233895">
            <w:pPr>
              <w:pStyle w:val="Default"/>
              <w:spacing w:before="60" w:after="60" w:line="260" w:lineRule="atLeast"/>
              <w:rPr>
                <w:b/>
                <w:i/>
                <w:iCs/>
                <w:color w:val="BE112D"/>
                <w:sz w:val="20"/>
                <w:szCs w:val="20"/>
              </w:rPr>
            </w:pPr>
            <w:r w:rsidRPr="006E1181">
              <w:rPr>
                <w:b/>
                <w:i/>
                <w:iCs/>
                <w:color w:val="BE112D"/>
                <w:sz w:val="20"/>
                <w:szCs w:val="20"/>
              </w:rPr>
              <w:t>If you would like to comment on the draft funding priorities in this document, please email your feedback to either:</w:t>
            </w:r>
          </w:p>
          <w:p w14:paraId="189141C7" w14:textId="0130BE44" w:rsidR="002859C3" w:rsidRPr="002859C3" w:rsidRDefault="002859C3" w:rsidP="000E54AF">
            <w:pPr>
              <w:pStyle w:val="Default"/>
              <w:numPr>
                <w:ilvl w:val="0"/>
                <w:numId w:val="6"/>
              </w:numPr>
              <w:spacing w:before="60" w:after="60" w:line="260" w:lineRule="atLeast"/>
              <w:rPr>
                <w:sz w:val="20"/>
                <w:szCs w:val="20"/>
              </w:rPr>
            </w:pPr>
            <w:r w:rsidRPr="002859C3">
              <w:rPr>
                <w:sz w:val="20"/>
                <w:szCs w:val="20"/>
              </w:rPr>
              <w:t xml:space="preserve">Sarah Rizwan, President, ECU Student Guild, at </w:t>
            </w:r>
            <w:hyperlink r:id="rId11" w:history="1">
              <w:r w:rsidRPr="002859C3">
                <w:rPr>
                  <w:rStyle w:val="Hyperlink"/>
                  <w:sz w:val="20"/>
                  <w:szCs w:val="20"/>
                </w:rPr>
                <w:t>president@ecuguild.org.au</w:t>
              </w:r>
            </w:hyperlink>
            <w:r w:rsidRPr="002859C3">
              <w:rPr>
                <w:sz w:val="20"/>
                <w:szCs w:val="20"/>
              </w:rPr>
              <w:t xml:space="preserve"> OR</w:t>
            </w:r>
          </w:p>
          <w:p w14:paraId="17952877" w14:textId="080F3E22" w:rsidR="002859C3" w:rsidRPr="002859C3" w:rsidRDefault="002859C3" w:rsidP="000E54AF">
            <w:pPr>
              <w:pStyle w:val="Default"/>
              <w:numPr>
                <w:ilvl w:val="0"/>
                <w:numId w:val="6"/>
              </w:numPr>
              <w:spacing w:before="60" w:after="60" w:line="260" w:lineRule="atLeast"/>
              <w:rPr>
                <w:sz w:val="20"/>
                <w:szCs w:val="20"/>
              </w:rPr>
            </w:pPr>
            <w:r w:rsidRPr="002859C3">
              <w:rPr>
                <w:sz w:val="20"/>
                <w:szCs w:val="20"/>
              </w:rPr>
              <w:t xml:space="preserve">Anita Creasey, Manager University Governance, at </w:t>
            </w:r>
            <w:hyperlink r:id="rId12" w:history="1">
              <w:r w:rsidRPr="002859C3">
                <w:rPr>
                  <w:rStyle w:val="Hyperlink"/>
                  <w:sz w:val="20"/>
                  <w:szCs w:val="20"/>
                </w:rPr>
                <w:t>universitygovernance@ecu.edu.au</w:t>
              </w:r>
            </w:hyperlink>
            <w:r w:rsidRPr="002859C3">
              <w:rPr>
                <w:sz w:val="20"/>
                <w:szCs w:val="20"/>
              </w:rPr>
              <w:t xml:space="preserve"> </w:t>
            </w:r>
          </w:p>
          <w:p w14:paraId="503E2769" w14:textId="78F100D2" w:rsidR="002859C3" w:rsidRPr="00C72EF4" w:rsidRDefault="002859C3" w:rsidP="003F6836">
            <w:pPr>
              <w:pStyle w:val="Default"/>
              <w:spacing w:before="60" w:after="60" w:line="260" w:lineRule="atLeast"/>
              <w:rPr>
                <w:sz w:val="20"/>
                <w:szCs w:val="20"/>
              </w:rPr>
            </w:pPr>
            <w:r w:rsidRPr="001848F3">
              <w:rPr>
                <w:sz w:val="20"/>
                <w:szCs w:val="20"/>
              </w:rPr>
              <w:t xml:space="preserve">by </w:t>
            </w:r>
            <w:r w:rsidRPr="001848F3">
              <w:rPr>
                <w:b/>
                <w:bCs/>
                <w:sz w:val="20"/>
                <w:szCs w:val="20"/>
              </w:rPr>
              <w:t xml:space="preserve">4pm on </w:t>
            </w:r>
            <w:r w:rsidR="00721DD4">
              <w:rPr>
                <w:b/>
                <w:bCs/>
                <w:sz w:val="20"/>
                <w:szCs w:val="20"/>
              </w:rPr>
              <w:t>Wednes</w:t>
            </w:r>
            <w:r w:rsidR="00F47B14">
              <w:rPr>
                <w:b/>
                <w:bCs/>
                <w:sz w:val="20"/>
                <w:szCs w:val="20"/>
              </w:rPr>
              <w:t xml:space="preserve">day, 29 </w:t>
            </w:r>
            <w:r w:rsidR="001848F3">
              <w:rPr>
                <w:b/>
                <w:bCs/>
                <w:sz w:val="20"/>
                <w:szCs w:val="20"/>
              </w:rPr>
              <w:t xml:space="preserve">March </w:t>
            </w:r>
            <w:r w:rsidRPr="001848F3">
              <w:rPr>
                <w:b/>
                <w:bCs/>
                <w:sz w:val="20"/>
                <w:szCs w:val="20"/>
              </w:rPr>
              <w:t>202</w:t>
            </w:r>
            <w:r w:rsidR="001848F3">
              <w:rPr>
                <w:b/>
                <w:bCs/>
                <w:sz w:val="20"/>
                <w:szCs w:val="20"/>
              </w:rPr>
              <w:t>3</w:t>
            </w:r>
            <w:r w:rsidRPr="001848F3">
              <w:rPr>
                <w:b/>
                <w:bCs/>
                <w:sz w:val="20"/>
                <w:szCs w:val="20"/>
              </w:rPr>
              <w:t>.</w:t>
            </w:r>
            <w:r w:rsidRPr="002859C3">
              <w:rPr>
                <w:sz w:val="20"/>
                <w:szCs w:val="20"/>
              </w:rPr>
              <w:t xml:space="preserve">  All feedback will be provided to the SSAF </w:t>
            </w:r>
            <w:r>
              <w:rPr>
                <w:sz w:val="20"/>
                <w:szCs w:val="20"/>
              </w:rPr>
              <w:t xml:space="preserve">Advisory Forum </w:t>
            </w:r>
            <w:r w:rsidRPr="002859C3">
              <w:rPr>
                <w:sz w:val="20"/>
                <w:szCs w:val="20"/>
              </w:rPr>
              <w:t>for consideration.</w:t>
            </w:r>
          </w:p>
        </w:tc>
      </w:tr>
    </w:tbl>
    <w:p w14:paraId="2E47A0DC" w14:textId="3E220891" w:rsidR="00087893" w:rsidRPr="00785B6A" w:rsidRDefault="00087893" w:rsidP="000070A3">
      <w:pPr>
        <w:pStyle w:val="Default"/>
        <w:spacing w:before="240" w:after="100"/>
        <w:rPr>
          <w:color w:val="004B85"/>
          <w:sz w:val="28"/>
          <w:szCs w:val="28"/>
        </w:rPr>
      </w:pPr>
      <w:r w:rsidRPr="00785B6A">
        <w:rPr>
          <w:color w:val="004B85"/>
          <w:sz w:val="28"/>
          <w:szCs w:val="28"/>
        </w:rPr>
        <w:t xml:space="preserve">DRAFT </w:t>
      </w:r>
      <w:r w:rsidR="00F94445" w:rsidRPr="00785B6A">
        <w:rPr>
          <w:color w:val="004B85"/>
          <w:sz w:val="28"/>
          <w:szCs w:val="28"/>
        </w:rPr>
        <w:t xml:space="preserve">SSAF </w:t>
      </w:r>
      <w:r w:rsidR="00943E35" w:rsidRPr="00785B6A">
        <w:rPr>
          <w:color w:val="004B85"/>
          <w:sz w:val="28"/>
          <w:szCs w:val="28"/>
        </w:rPr>
        <w:t>Funding Priorities for 20</w:t>
      </w:r>
      <w:r w:rsidR="00246EB5" w:rsidRPr="00785B6A">
        <w:rPr>
          <w:color w:val="004B85"/>
          <w:sz w:val="28"/>
          <w:szCs w:val="28"/>
        </w:rPr>
        <w:t>2</w:t>
      </w:r>
      <w:r w:rsidR="0030682A" w:rsidRPr="00785B6A">
        <w:rPr>
          <w:color w:val="004B85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48"/>
        <w:gridCol w:w="4646"/>
      </w:tblGrid>
      <w:tr w:rsidR="003D0CBF" w:rsidRPr="00087893" w14:paraId="070E28BA" w14:textId="77777777" w:rsidTr="004B19BA">
        <w:trPr>
          <w:cantSplit/>
          <w:tblHeader/>
        </w:trPr>
        <w:tc>
          <w:tcPr>
            <w:tcW w:w="4654" w:type="dxa"/>
            <w:tcBorders>
              <w:bottom w:val="single" w:sz="12" w:space="0" w:color="auto"/>
            </w:tcBorders>
            <w:shd w:val="clear" w:color="auto" w:fill="FEC336"/>
          </w:tcPr>
          <w:p w14:paraId="0CF2E494" w14:textId="77777777" w:rsidR="003D0CBF" w:rsidRPr="00087893" w:rsidRDefault="003D0CBF" w:rsidP="00CD1A3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93">
              <w:rPr>
                <w:rFonts w:ascii="Arial" w:hAnsi="Arial" w:cs="Arial"/>
                <w:b/>
                <w:sz w:val="20"/>
                <w:szCs w:val="20"/>
              </w:rPr>
              <w:t>Expenditure categories (HESA 19-38(4))</w:t>
            </w:r>
          </w:p>
        </w:tc>
        <w:tc>
          <w:tcPr>
            <w:tcW w:w="4648" w:type="dxa"/>
            <w:tcBorders>
              <w:bottom w:val="single" w:sz="12" w:space="0" w:color="auto"/>
            </w:tcBorders>
            <w:shd w:val="clear" w:color="auto" w:fill="FEC336"/>
          </w:tcPr>
          <w:p w14:paraId="5D37AE46" w14:textId="77777777" w:rsidR="003D0CBF" w:rsidRPr="00087893" w:rsidRDefault="003D0CBF" w:rsidP="00CD1A3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93">
              <w:rPr>
                <w:rFonts w:ascii="Arial" w:hAnsi="Arial" w:cs="Arial"/>
                <w:b/>
                <w:sz w:val="20"/>
                <w:szCs w:val="20"/>
              </w:rPr>
              <w:t>Guild</w:t>
            </w:r>
            <w:r w:rsidR="00B461D4" w:rsidRPr="00087893">
              <w:rPr>
                <w:rFonts w:ascii="Arial" w:hAnsi="Arial" w:cs="Arial"/>
                <w:b/>
                <w:sz w:val="20"/>
                <w:szCs w:val="20"/>
              </w:rPr>
              <w:t xml:space="preserve"> will use funds to:</w:t>
            </w:r>
          </w:p>
        </w:tc>
        <w:tc>
          <w:tcPr>
            <w:tcW w:w="4646" w:type="dxa"/>
            <w:tcBorders>
              <w:bottom w:val="single" w:sz="12" w:space="0" w:color="auto"/>
            </w:tcBorders>
            <w:shd w:val="clear" w:color="auto" w:fill="FEC336"/>
          </w:tcPr>
          <w:p w14:paraId="3C258939" w14:textId="77777777" w:rsidR="003D0CBF" w:rsidRPr="00087893" w:rsidRDefault="003D0CBF" w:rsidP="00CD1A3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9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r w:rsidR="00B461D4" w:rsidRPr="00087893">
              <w:rPr>
                <w:rFonts w:ascii="Arial" w:hAnsi="Arial" w:cs="Arial"/>
                <w:b/>
                <w:sz w:val="20"/>
                <w:szCs w:val="20"/>
              </w:rPr>
              <w:t xml:space="preserve"> will use funds to:</w:t>
            </w:r>
          </w:p>
        </w:tc>
      </w:tr>
      <w:tr w:rsidR="003D0CBF" w:rsidRPr="00087893" w14:paraId="64324CEF" w14:textId="77777777" w:rsidTr="00AB6D69">
        <w:trPr>
          <w:cantSplit/>
        </w:trPr>
        <w:tc>
          <w:tcPr>
            <w:tcW w:w="4654" w:type="dxa"/>
            <w:tcBorders>
              <w:top w:val="single" w:sz="12" w:space="0" w:color="auto"/>
            </w:tcBorders>
          </w:tcPr>
          <w:p w14:paraId="453D12F4" w14:textId="77777777" w:rsidR="003D0CBF" w:rsidRPr="005A54A7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A54A7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5A54A7">
              <w:rPr>
                <w:rFonts w:ascii="Arial" w:hAnsi="Arial" w:cs="Arial"/>
                <w:sz w:val="20"/>
                <w:szCs w:val="20"/>
              </w:rPr>
              <w:t>providing food or drink to students on a campus of the higher education provider</w:t>
            </w:r>
          </w:p>
        </w:tc>
        <w:tc>
          <w:tcPr>
            <w:tcW w:w="4648" w:type="dxa"/>
            <w:tcBorders>
              <w:top w:val="single" w:sz="12" w:space="0" w:color="auto"/>
            </w:tcBorders>
          </w:tcPr>
          <w:p w14:paraId="530CFAFF" w14:textId="571E590D" w:rsidR="003D0CBF" w:rsidRPr="00087893" w:rsidRDefault="00F867EA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free food and drink </w:t>
            </w:r>
            <w:r w:rsidR="002A6479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events and activities on each of the University’s campuses</w:t>
            </w:r>
          </w:p>
        </w:tc>
        <w:tc>
          <w:tcPr>
            <w:tcW w:w="46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05F91B" w14:textId="77777777" w:rsidR="003D0CBF" w:rsidRPr="008320D1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D0CBF" w:rsidRPr="00087893" w14:paraId="49660699" w14:textId="77777777" w:rsidTr="00D7764F">
        <w:trPr>
          <w:cantSplit/>
        </w:trPr>
        <w:tc>
          <w:tcPr>
            <w:tcW w:w="4654" w:type="dxa"/>
          </w:tcPr>
          <w:p w14:paraId="78BE5BA4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supporting a sporting or other recreational activity by students</w:t>
            </w:r>
          </w:p>
        </w:tc>
        <w:tc>
          <w:tcPr>
            <w:tcW w:w="4648" w:type="dxa"/>
            <w:shd w:val="clear" w:color="auto" w:fill="auto"/>
          </w:tcPr>
          <w:p w14:paraId="39CE9538" w14:textId="05259EA5" w:rsidR="003D0CBF" w:rsidRPr="00AB6D69" w:rsidRDefault="0017723C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6D69">
              <w:rPr>
                <w:rFonts w:ascii="Arial" w:hAnsi="Arial" w:cs="Arial"/>
                <w:sz w:val="20"/>
                <w:szCs w:val="20"/>
              </w:rPr>
              <w:t>s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>upport a wide range of</w:t>
            </w:r>
            <w:r w:rsidR="00A854B6">
              <w:rPr>
                <w:rFonts w:ascii="Arial" w:hAnsi="Arial" w:cs="Arial"/>
                <w:sz w:val="20"/>
                <w:szCs w:val="20"/>
              </w:rPr>
              <w:t xml:space="preserve"> recreational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 xml:space="preserve"> events, including </w:t>
            </w:r>
            <w:r w:rsidR="00FB7B0E">
              <w:rPr>
                <w:rFonts w:ascii="Arial" w:hAnsi="Arial" w:cs="Arial"/>
                <w:sz w:val="20"/>
                <w:szCs w:val="20"/>
              </w:rPr>
              <w:t>social activities across all campuses and off campuses</w:t>
            </w:r>
          </w:p>
          <w:p w14:paraId="453F5BE3" w14:textId="0B39BC42" w:rsidR="00A854B6" w:rsidRDefault="00A854B6" w:rsidP="008B33D2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8B25CC">
              <w:rPr>
                <w:rFonts w:ascii="Arial" w:hAnsi="Arial" w:cs="Arial"/>
                <w:sz w:val="20"/>
                <w:szCs w:val="20"/>
              </w:rPr>
              <w:t xml:space="preserve">extensive </w:t>
            </w:r>
            <w:r>
              <w:rPr>
                <w:rFonts w:ascii="Arial" w:hAnsi="Arial" w:cs="Arial"/>
                <w:sz w:val="20"/>
                <w:szCs w:val="20"/>
              </w:rPr>
              <w:t>sporting-related events and activities including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 provision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4DC">
              <w:rPr>
                <w:rFonts w:ascii="Arial" w:hAnsi="Arial" w:cs="Arial"/>
                <w:sz w:val="20"/>
                <w:szCs w:val="20"/>
              </w:rPr>
              <w:t>social sports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 and support to the ECU Emus</w:t>
            </w:r>
          </w:p>
          <w:p w14:paraId="2AB4E570" w14:textId="77777777" w:rsidR="008B33D2" w:rsidRPr="00AB6D69" w:rsidRDefault="008B33D2" w:rsidP="008B33D2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other student activities including hobby-based events</w:t>
            </w:r>
          </w:p>
        </w:tc>
        <w:tc>
          <w:tcPr>
            <w:tcW w:w="4646" w:type="dxa"/>
            <w:shd w:val="clear" w:color="auto" w:fill="auto"/>
          </w:tcPr>
          <w:p w14:paraId="78D2C895" w14:textId="338B1F41" w:rsidR="00AB6D69" w:rsidRPr="001A516B" w:rsidRDefault="0017723C" w:rsidP="004F776A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s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>upport s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>port</w:t>
            </w:r>
            <w:r w:rsidR="004375B6" w:rsidRPr="001A516B">
              <w:rPr>
                <w:rFonts w:ascii="Arial" w:hAnsi="Arial" w:cs="Arial"/>
                <w:sz w:val="20"/>
                <w:szCs w:val="20"/>
              </w:rPr>
              <w:t>ing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328">
              <w:rPr>
                <w:rFonts w:ascii="Arial" w:hAnsi="Arial" w:cs="Arial"/>
                <w:sz w:val="20"/>
                <w:szCs w:val="20"/>
              </w:rPr>
              <w:t xml:space="preserve">and recreation 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>activities</w:t>
            </w:r>
            <w:r w:rsidR="006C47CE" w:rsidRPr="001A51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CBF" w:rsidRPr="00087893" w14:paraId="0B94C9E2" w14:textId="77777777" w:rsidTr="005D3DA4">
        <w:trPr>
          <w:cantSplit/>
        </w:trPr>
        <w:tc>
          <w:tcPr>
            <w:tcW w:w="4654" w:type="dxa"/>
          </w:tcPr>
          <w:p w14:paraId="6A17E8D5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supporting the administration of a club most of whose members are students</w:t>
            </w:r>
          </w:p>
        </w:tc>
        <w:tc>
          <w:tcPr>
            <w:tcW w:w="4648" w:type="dxa"/>
            <w:shd w:val="clear" w:color="auto" w:fill="auto"/>
          </w:tcPr>
          <w:p w14:paraId="324C17A2" w14:textId="63A1E7FE" w:rsidR="003D0CBF" w:rsidRDefault="0017723C" w:rsidP="00A854B6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B6D69">
              <w:rPr>
                <w:rFonts w:ascii="Arial" w:hAnsi="Arial" w:cs="Arial"/>
                <w:sz w:val="20"/>
                <w:szCs w:val="20"/>
              </w:rPr>
              <w:t>s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 xml:space="preserve">upport </w:t>
            </w:r>
            <w:r w:rsidR="002A6479">
              <w:rPr>
                <w:rFonts w:ascii="Arial" w:hAnsi="Arial" w:cs="Arial"/>
                <w:sz w:val="20"/>
                <w:szCs w:val="20"/>
              </w:rPr>
              <w:t xml:space="preserve">guild-affiliated </w:t>
            </w:r>
            <w:r w:rsidR="00FB7B0E">
              <w:rPr>
                <w:rFonts w:ascii="Arial" w:hAnsi="Arial" w:cs="Arial"/>
                <w:sz w:val="20"/>
                <w:szCs w:val="20"/>
              </w:rPr>
              <w:t xml:space="preserve">clubs across all Guild Departments </w:t>
            </w:r>
          </w:p>
          <w:p w14:paraId="2C337D0A" w14:textId="77777777" w:rsidR="00A854B6" w:rsidRPr="00AB6D69" w:rsidRDefault="00A854B6" w:rsidP="00A854B6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financial and administrative advice to ensure clubs meet affiliation obligations</w:t>
            </w:r>
          </w:p>
        </w:tc>
        <w:tc>
          <w:tcPr>
            <w:tcW w:w="4646" w:type="dxa"/>
            <w:shd w:val="clear" w:color="auto" w:fill="D9D9D9" w:themeFill="background1" w:themeFillShade="D9"/>
          </w:tcPr>
          <w:p w14:paraId="4E50C4A5" w14:textId="77777777" w:rsidR="003D0CBF" w:rsidRPr="001A516B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45" w:rsidRPr="00087893" w14:paraId="61659192" w14:textId="77777777" w:rsidTr="00DA0645">
        <w:trPr>
          <w:cantSplit/>
        </w:trPr>
        <w:tc>
          <w:tcPr>
            <w:tcW w:w="4654" w:type="dxa"/>
          </w:tcPr>
          <w:p w14:paraId="4359414E" w14:textId="72F69726" w:rsidR="00DA0645" w:rsidRPr="00DA0645" w:rsidRDefault="00DA0645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DA0645">
              <w:rPr>
                <w:rFonts w:ascii="Arial" w:hAnsi="Arial" w:cs="Arial"/>
                <w:sz w:val="20"/>
                <w:szCs w:val="20"/>
              </w:rPr>
              <w:t>(d)</w:t>
            </w:r>
            <w:r w:rsidRPr="00DA0645">
              <w:rPr>
                <w:rFonts w:ascii="Arial" w:hAnsi="Arial" w:cs="Arial"/>
                <w:sz w:val="20"/>
                <w:szCs w:val="20"/>
              </w:rPr>
              <w:tab/>
              <w:t xml:space="preserve">caring for children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A0645">
              <w:rPr>
                <w:rFonts w:ascii="Arial" w:hAnsi="Arial" w:cs="Arial"/>
                <w:sz w:val="20"/>
                <w:szCs w:val="20"/>
              </w:rPr>
              <w:t>tudents</w:t>
            </w:r>
          </w:p>
        </w:tc>
        <w:tc>
          <w:tcPr>
            <w:tcW w:w="4648" w:type="dxa"/>
            <w:shd w:val="clear" w:color="auto" w:fill="BFBFBF" w:themeFill="background1" w:themeFillShade="BF"/>
          </w:tcPr>
          <w:p w14:paraId="522B15CA" w14:textId="77777777" w:rsidR="00DA0645" w:rsidRPr="00DA0645" w:rsidRDefault="00DA0645" w:rsidP="00DA0645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59EFD906" w14:textId="2EB7EA37" w:rsidR="00DA0645" w:rsidRPr="00DA0645" w:rsidRDefault="00DA0645" w:rsidP="00DA0645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A0645">
              <w:rPr>
                <w:rFonts w:ascii="Arial" w:hAnsi="Arial" w:cs="Arial"/>
                <w:sz w:val="20"/>
                <w:szCs w:val="20"/>
              </w:rPr>
              <w:t>support services for ECU SW Campus creche</w:t>
            </w:r>
          </w:p>
        </w:tc>
      </w:tr>
      <w:tr w:rsidR="003D0CBF" w:rsidRPr="00087893" w14:paraId="2B9EF024" w14:textId="77777777" w:rsidTr="00D7764F">
        <w:trPr>
          <w:cantSplit/>
        </w:trPr>
        <w:tc>
          <w:tcPr>
            <w:tcW w:w="4654" w:type="dxa"/>
          </w:tcPr>
          <w:p w14:paraId="55EF1A8A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(f)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promoting the health or welfare of students</w:t>
            </w:r>
          </w:p>
        </w:tc>
        <w:tc>
          <w:tcPr>
            <w:tcW w:w="4648" w:type="dxa"/>
            <w:shd w:val="clear" w:color="auto" w:fill="auto"/>
          </w:tcPr>
          <w:p w14:paraId="50DA0F1A" w14:textId="613AF195" w:rsidR="003D0CBF" w:rsidRPr="00AB6D69" w:rsidRDefault="00B10873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B7B0E">
              <w:rPr>
                <w:rFonts w:ascii="Arial" w:hAnsi="Arial" w:cs="Arial"/>
                <w:sz w:val="20"/>
                <w:szCs w:val="20"/>
              </w:rPr>
              <w:t>rovide welfare services and referrals to health and other welfare services which reflect students across all campuses through the Guild Advisory Service</w:t>
            </w:r>
          </w:p>
          <w:p w14:paraId="21B2AADA" w14:textId="49BF3A0D" w:rsidR="00316BCF" w:rsidRDefault="00A854B6" w:rsidP="00FB7B0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 and r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>un a range of equity</w:t>
            </w:r>
            <w:r>
              <w:rPr>
                <w:rFonts w:ascii="Arial" w:hAnsi="Arial" w:cs="Arial"/>
                <w:sz w:val="20"/>
                <w:szCs w:val="20"/>
              </w:rPr>
              <w:t>-based</w:t>
            </w:r>
            <w:r w:rsidR="00B461D4" w:rsidRPr="00AB6D69">
              <w:rPr>
                <w:rFonts w:ascii="Arial" w:hAnsi="Arial" w:cs="Arial"/>
                <w:sz w:val="20"/>
                <w:szCs w:val="20"/>
              </w:rPr>
              <w:t xml:space="preserve">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designed to engage the broader university community</w:t>
            </w:r>
          </w:p>
          <w:p w14:paraId="15DE4B8C" w14:textId="5D8A6358" w:rsidR="002E666C" w:rsidRPr="00AB6D69" w:rsidRDefault="00B10873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16BCF">
              <w:rPr>
                <w:rFonts w:ascii="Arial" w:hAnsi="Arial" w:cs="Arial"/>
                <w:sz w:val="20"/>
                <w:szCs w:val="20"/>
              </w:rPr>
              <w:t>upport a range of Equity and Diversity, First Nations, Mature-Aged and LGTBQI Students through the representative departments of the Guild.</w:t>
            </w:r>
          </w:p>
        </w:tc>
        <w:tc>
          <w:tcPr>
            <w:tcW w:w="4646" w:type="dxa"/>
            <w:shd w:val="clear" w:color="auto" w:fill="auto"/>
          </w:tcPr>
          <w:p w14:paraId="0C04FEA6" w14:textId="77777777" w:rsidR="005A54A7" w:rsidRPr="001A516B" w:rsidRDefault="002D40C5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identify</w:t>
            </w:r>
            <w:r w:rsidR="005A54A7" w:rsidRPr="001A516B">
              <w:rPr>
                <w:rFonts w:ascii="Arial" w:hAnsi="Arial" w:cs="Arial"/>
                <w:sz w:val="20"/>
                <w:szCs w:val="20"/>
              </w:rPr>
              <w:t xml:space="preserve"> and provide a range of </w:t>
            </w:r>
            <w:r w:rsidRPr="001A516B">
              <w:rPr>
                <w:rFonts w:ascii="Arial" w:hAnsi="Arial" w:cs="Arial"/>
                <w:sz w:val="20"/>
                <w:szCs w:val="20"/>
              </w:rPr>
              <w:t>proactive support services for students</w:t>
            </w:r>
          </w:p>
          <w:p w14:paraId="36A9D00A" w14:textId="77777777" w:rsidR="003D0CBF" w:rsidRPr="001A516B" w:rsidRDefault="0017723C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p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 xml:space="preserve">rovide </w:t>
            </w:r>
            <w:r w:rsidRPr="001A516B">
              <w:rPr>
                <w:rFonts w:ascii="Arial" w:hAnsi="Arial" w:cs="Arial"/>
                <w:sz w:val="20"/>
                <w:szCs w:val="20"/>
              </w:rPr>
              <w:t>a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>dditional nursing staff to provide immunisations to students requir</w:t>
            </w:r>
            <w:r w:rsidRPr="001A516B">
              <w:rPr>
                <w:rFonts w:ascii="Arial" w:hAnsi="Arial" w:cs="Arial"/>
                <w:sz w:val="20"/>
                <w:szCs w:val="20"/>
              </w:rPr>
              <w:t>ing</w:t>
            </w:r>
            <w:r w:rsidR="003D0CBF" w:rsidRPr="001A516B">
              <w:rPr>
                <w:rFonts w:ascii="Arial" w:hAnsi="Arial" w:cs="Arial"/>
                <w:sz w:val="20"/>
                <w:szCs w:val="20"/>
              </w:rPr>
              <w:t xml:space="preserve"> them for practicum placements</w:t>
            </w:r>
          </w:p>
        </w:tc>
      </w:tr>
      <w:tr w:rsidR="003D0CBF" w:rsidRPr="00087893" w14:paraId="07BA38B3" w14:textId="77777777" w:rsidTr="00D7764F">
        <w:trPr>
          <w:cantSplit/>
        </w:trPr>
        <w:tc>
          <w:tcPr>
            <w:tcW w:w="4654" w:type="dxa"/>
          </w:tcPr>
          <w:p w14:paraId="0B6F6D1F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helping students obtain employment or advice on careers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4CBA0225" w14:textId="77777777" w:rsidR="003D0CBF" w:rsidRPr="00087893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16F13503" w14:textId="77777777" w:rsidR="003D0CBF" w:rsidRPr="001A516B" w:rsidRDefault="004375B6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provide services to students to enable them to access volunteering opportunities</w:t>
            </w:r>
          </w:p>
          <w:p w14:paraId="091E8F30" w14:textId="77777777" w:rsidR="00D10FE4" w:rsidRDefault="004375B6" w:rsidP="00D10FE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provide students with resources and services to improve employability skills</w:t>
            </w:r>
          </w:p>
          <w:p w14:paraId="3E8B7953" w14:textId="09F3573F" w:rsidR="004375B6" w:rsidRPr="001A516B" w:rsidRDefault="00D10FE4" w:rsidP="00D10FE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22D32">
              <w:rPr>
                <w:rFonts w:ascii="Arial" w:hAnsi="Arial" w:cs="Arial"/>
                <w:sz w:val="20"/>
                <w:szCs w:val="20"/>
              </w:rPr>
              <w:t xml:space="preserve">provide a concierge service to ensure students receive appropriate, high-level support in the Learning and Career Hub </w:t>
            </w:r>
            <w:r w:rsidRPr="00D22D32">
              <w:rPr>
                <w:rFonts w:ascii="Arial" w:hAnsi="Arial" w:cs="Arial"/>
                <w:i/>
                <w:iCs/>
                <w:sz w:val="20"/>
                <w:szCs w:val="20"/>
              </w:rPr>
              <w:t>[see also (o) below]</w:t>
            </w:r>
          </w:p>
        </w:tc>
      </w:tr>
      <w:tr w:rsidR="003D0CBF" w:rsidRPr="00087893" w14:paraId="5820DA03" w14:textId="77777777" w:rsidTr="00D7764F">
        <w:trPr>
          <w:cantSplit/>
        </w:trPr>
        <w:tc>
          <w:tcPr>
            <w:tcW w:w="4654" w:type="dxa"/>
          </w:tcPr>
          <w:p w14:paraId="0E1DF2D0" w14:textId="77777777" w:rsidR="003D0CBF" w:rsidRPr="005A54A7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5A54A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A54A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5A54A7">
              <w:rPr>
                <w:rFonts w:ascii="Arial" w:hAnsi="Arial" w:cs="Arial"/>
                <w:sz w:val="20"/>
                <w:szCs w:val="20"/>
              </w:rPr>
              <w:t>helping students with their financial affairs</w:t>
            </w:r>
          </w:p>
        </w:tc>
        <w:tc>
          <w:tcPr>
            <w:tcW w:w="4648" w:type="dxa"/>
          </w:tcPr>
          <w:p w14:paraId="2DF8C97D" w14:textId="44AD7EA5" w:rsidR="004375B6" w:rsidRPr="004375B6" w:rsidRDefault="000C6248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44617F">
              <w:rPr>
                <w:rFonts w:ascii="Arial" w:hAnsi="Arial" w:cs="Arial"/>
                <w:sz w:val="20"/>
                <w:szCs w:val="20"/>
              </w:rPr>
              <w:t xml:space="preserve">welfare related </w:t>
            </w:r>
            <w:r w:rsidR="00C10F44">
              <w:rPr>
                <w:rFonts w:ascii="Arial" w:hAnsi="Arial" w:cs="Arial"/>
                <w:sz w:val="20"/>
                <w:szCs w:val="20"/>
              </w:rPr>
              <w:t>discretionary grants</w:t>
            </w:r>
            <w:r w:rsidR="004375B6">
              <w:rPr>
                <w:rFonts w:ascii="Arial" w:hAnsi="Arial" w:cs="Arial"/>
                <w:sz w:val="20"/>
                <w:szCs w:val="20"/>
              </w:rPr>
              <w:t xml:space="preserve"> to students in need</w:t>
            </w:r>
          </w:p>
          <w:p w14:paraId="1A3999CB" w14:textId="4CC2E69B" w:rsidR="002E666C" w:rsidRDefault="000C6248" w:rsidP="00593A7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range of </w:t>
            </w:r>
            <w:r w:rsidR="00316BCF">
              <w:rPr>
                <w:rFonts w:ascii="Arial" w:hAnsi="Arial" w:cs="Arial"/>
                <w:sz w:val="20"/>
                <w:szCs w:val="20"/>
              </w:rPr>
              <w:t xml:space="preserve">vouchers </w:t>
            </w:r>
            <w:r>
              <w:rPr>
                <w:rFonts w:ascii="Arial" w:hAnsi="Arial" w:cs="Arial"/>
                <w:sz w:val="20"/>
                <w:szCs w:val="20"/>
              </w:rPr>
              <w:t>to assist students with food</w:t>
            </w:r>
            <w:r w:rsidR="00316BCF">
              <w:rPr>
                <w:rFonts w:ascii="Arial" w:hAnsi="Arial" w:cs="Arial"/>
                <w:sz w:val="20"/>
                <w:szCs w:val="20"/>
              </w:rPr>
              <w:t xml:space="preserve"> and transport</w:t>
            </w:r>
            <w:r w:rsidR="00A31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69587" w14:textId="0D6FC176" w:rsidR="00AE0C65" w:rsidRPr="00087893" w:rsidRDefault="00AE0C65" w:rsidP="00593A7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="007E2188">
              <w:rPr>
                <w:rFonts w:ascii="Arial" w:hAnsi="Arial" w:cs="Arial"/>
                <w:sz w:val="20"/>
                <w:szCs w:val="20"/>
              </w:rPr>
              <w:t xml:space="preserve">comprehensive </w:t>
            </w:r>
            <w:proofErr w:type="gramStart"/>
            <w:r w:rsidR="007E2188">
              <w:rPr>
                <w:rFonts w:ascii="Arial" w:hAnsi="Arial" w:cs="Arial"/>
                <w:sz w:val="20"/>
                <w:szCs w:val="20"/>
              </w:rPr>
              <w:t>second hand</w:t>
            </w:r>
            <w:proofErr w:type="gramEnd"/>
            <w:r w:rsidR="007E2188">
              <w:rPr>
                <w:rFonts w:ascii="Arial" w:hAnsi="Arial" w:cs="Arial"/>
                <w:sz w:val="20"/>
                <w:szCs w:val="20"/>
              </w:rPr>
              <w:t xml:space="preserve"> book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whereby students can </w:t>
            </w:r>
            <w:r w:rsidR="007E2188">
              <w:rPr>
                <w:rFonts w:ascii="Arial" w:hAnsi="Arial" w:cs="Arial"/>
                <w:sz w:val="20"/>
                <w:szCs w:val="20"/>
              </w:rPr>
              <w:t xml:space="preserve">sell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purchase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>
              <w:rPr>
                <w:rFonts w:ascii="Arial" w:hAnsi="Arial" w:cs="Arial"/>
                <w:sz w:val="20"/>
                <w:szCs w:val="20"/>
              </w:rPr>
              <w:t>course materials.</w:t>
            </w:r>
          </w:p>
        </w:tc>
        <w:tc>
          <w:tcPr>
            <w:tcW w:w="4646" w:type="dxa"/>
            <w:shd w:val="clear" w:color="auto" w:fill="auto"/>
          </w:tcPr>
          <w:p w14:paraId="60B34311" w14:textId="77777777" w:rsidR="003D0CBF" w:rsidRPr="001A516B" w:rsidRDefault="0017723C" w:rsidP="006C47CE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o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 xml:space="preserve">ffer </w:t>
            </w:r>
            <w:r w:rsidR="006C47CE" w:rsidRPr="001A516B">
              <w:rPr>
                <w:rFonts w:ascii="Arial" w:hAnsi="Arial" w:cs="Arial"/>
                <w:sz w:val="20"/>
                <w:szCs w:val="20"/>
              </w:rPr>
              <w:t>loans and equity grants to students in need</w:t>
            </w:r>
          </w:p>
        </w:tc>
      </w:tr>
      <w:tr w:rsidR="003D0CBF" w:rsidRPr="00087893" w14:paraId="76F811E7" w14:textId="77777777" w:rsidTr="005D3DA4">
        <w:trPr>
          <w:cantSplit/>
        </w:trPr>
        <w:tc>
          <w:tcPr>
            <w:tcW w:w="4654" w:type="dxa"/>
          </w:tcPr>
          <w:p w14:paraId="5CDE6701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supporting the production and dissemination to students of media whose content is provided by students</w:t>
            </w:r>
          </w:p>
        </w:tc>
        <w:tc>
          <w:tcPr>
            <w:tcW w:w="4648" w:type="dxa"/>
          </w:tcPr>
          <w:p w14:paraId="332917E9" w14:textId="4F0B64F3" w:rsidR="00712A69" w:rsidRDefault="00B10873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12A69">
              <w:rPr>
                <w:rFonts w:ascii="Arial" w:hAnsi="Arial" w:cs="Arial"/>
                <w:sz w:val="20"/>
                <w:szCs w:val="20"/>
              </w:rPr>
              <w:t>ublishing a student diary</w:t>
            </w:r>
          </w:p>
          <w:p w14:paraId="5B22747E" w14:textId="2CF44C8A" w:rsidR="003D0CBF" w:rsidRDefault="000C6248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regularly publish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Dircksey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66C" w:rsidRPr="00087893">
              <w:rPr>
                <w:rFonts w:ascii="Arial" w:hAnsi="Arial" w:cs="Arial"/>
                <w:sz w:val="20"/>
                <w:szCs w:val="20"/>
              </w:rPr>
              <w:t>Student Magazine</w:t>
            </w:r>
            <w:r w:rsidR="00583F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to which students may submit articles</w:t>
            </w:r>
          </w:p>
          <w:p w14:paraId="53DBEB86" w14:textId="77777777" w:rsidR="000C6248" w:rsidRDefault="000C6248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the Guild’s website at </w:t>
            </w:r>
            <w:hyperlink r:id="rId13" w:history="1">
              <w:r w:rsidRPr="0057245D">
                <w:rPr>
                  <w:rStyle w:val="Hyperlink"/>
                  <w:rFonts w:ascii="Arial" w:hAnsi="Arial" w:cs="Arial"/>
                  <w:sz w:val="20"/>
                  <w:szCs w:val="20"/>
                </w:rPr>
                <w:t>www.ecuguild.org.au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is current and represents students’ needs</w:t>
            </w:r>
          </w:p>
          <w:p w14:paraId="36E76725" w14:textId="77777777" w:rsidR="000C6248" w:rsidRPr="00087893" w:rsidRDefault="000C6248" w:rsidP="000C6248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Guild’s social medi</w:t>
            </w:r>
            <w:r w:rsidR="00CA6CED">
              <w:rPr>
                <w:rFonts w:ascii="Arial" w:hAnsi="Arial" w:cs="Arial"/>
                <w:sz w:val="20"/>
                <w:szCs w:val="20"/>
              </w:rPr>
              <w:t>a network through Facebook and t</w:t>
            </w:r>
            <w:r>
              <w:rPr>
                <w:rFonts w:ascii="Arial" w:hAnsi="Arial" w:cs="Arial"/>
                <w:sz w:val="20"/>
                <w:szCs w:val="20"/>
              </w:rPr>
              <w:t>witter reflect real time information for students’ use and provide a forum for engagement</w:t>
            </w:r>
          </w:p>
        </w:tc>
        <w:tc>
          <w:tcPr>
            <w:tcW w:w="4646" w:type="dxa"/>
            <w:shd w:val="clear" w:color="auto" w:fill="D9D9D9" w:themeFill="background1" w:themeFillShade="D9"/>
          </w:tcPr>
          <w:p w14:paraId="666CCCC2" w14:textId="77777777" w:rsidR="003D0CBF" w:rsidRPr="001A516B" w:rsidRDefault="003D0CBF" w:rsidP="00CD1A31">
            <w:pPr>
              <w:spacing w:beforeLines="20" w:before="48" w:afterLines="20" w:after="48" w:line="240" w:lineRule="atLeast"/>
              <w:ind w:left="238" w:hanging="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BF" w:rsidRPr="00087893" w14:paraId="60FCD705" w14:textId="77777777" w:rsidTr="00AB6D69">
        <w:trPr>
          <w:cantSplit/>
        </w:trPr>
        <w:tc>
          <w:tcPr>
            <w:tcW w:w="4654" w:type="dxa"/>
          </w:tcPr>
          <w:p w14:paraId="25D3CC8C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(o)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helping students develop skills for study, by means other than undertaking courses of study in which they are enrolled</w:t>
            </w:r>
          </w:p>
        </w:tc>
        <w:tc>
          <w:tcPr>
            <w:tcW w:w="4648" w:type="dxa"/>
          </w:tcPr>
          <w:p w14:paraId="495AD3A0" w14:textId="77777777" w:rsidR="003D0CBF" w:rsidRDefault="00CA6CED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 range of communication protocols between students and schools and the Guild to enhance the learning experience</w:t>
            </w:r>
          </w:p>
          <w:p w14:paraId="3C7586E1" w14:textId="63D6E5E9" w:rsidR="00CA6CED" w:rsidRPr="00087893" w:rsidRDefault="00B10873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12A69">
              <w:rPr>
                <w:rFonts w:ascii="Arial" w:hAnsi="Arial" w:cs="Arial"/>
                <w:sz w:val="20"/>
                <w:szCs w:val="20"/>
              </w:rPr>
              <w:t>rovide accessible training courses for a diverse range of students</w:t>
            </w:r>
          </w:p>
          <w:p w14:paraId="27E97717" w14:textId="77777777" w:rsidR="00B10873" w:rsidRDefault="0017723C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87893">
              <w:rPr>
                <w:rFonts w:ascii="Arial" w:hAnsi="Arial" w:cs="Arial"/>
                <w:sz w:val="20"/>
                <w:szCs w:val="20"/>
              </w:rPr>
              <w:t>s</w:t>
            </w:r>
            <w:r w:rsidR="002E666C" w:rsidRPr="00087893">
              <w:rPr>
                <w:rFonts w:ascii="Arial" w:hAnsi="Arial" w:cs="Arial"/>
                <w:sz w:val="20"/>
                <w:szCs w:val="20"/>
              </w:rPr>
              <w:t xml:space="preserve">upport the Undergraduate Studies Department, the Postgraduate Studies </w:t>
            </w:r>
            <w:proofErr w:type="gramStart"/>
            <w:r w:rsidR="002E666C" w:rsidRPr="00087893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gramEnd"/>
            <w:r w:rsidR="002E666C" w:rsidRPr="00087893">
              <w:rPr>
                <w:rFonts w:ascii="Arial" w:hAnsi="Arial" w:cs="Arial"/>
                <w:sz w:val="20"/>
                <w:szCs w:val="20"/>
              </w:rPr>
              <w:t xml:space="preserve"> and the Environmental Sustainability Department</w:t>
            </w:r>
          </w:p>
          <w:p w14:paraId="18DF386D" w14:textId="63D064B6" w:rsidR="00A65B24" w:rsidRPr="00B10873" w:rsidRDefault="00B10873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12A69" w:rsidRPr="00B10873">
              <w:rPr>
                <w:rFonts w:ascii="Arial" w:hAnsi="Arial" w:cs="Arial"/>
                <w:sz w:val="20"/>
                <w:szCs w:val="20"/>
              </w:rPr>
              <w:t>programs to attract students from a broad range of University programs.</w:t>
            </w:r>
          </w:p>
        </w:tc>
        <w:tc>
          <w:tcPr>
            <w:tcW w:w="4646" w:type="dxa"/>
            <w:shd w:val="clear" w:color="auto" w:fill="auto"/>
          </w:tcPr>
          <w:p w14:paraId="5A0BF5BF" w14:textId="77777777" w:rsidR="00C636F7" w:rsidRDefault="008D0A65" w:rsidP="00046419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enhance the support provided for students with written communications skills through the Centre for Learning and Teaching</w:t>
            </w:r>
          </w:p>
          <w:p w14:paraId="46846AAA" w14:textId="768A6EB3" w:rsidR="00C12C91" w:rsidRPr="00C12C91" w:rsidRDefault="00C12C91" w:rsidP="00C12C9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22D32">
              <w:rPr>
                <w:rFonts w:ascii="Arial" w:hAnsi="Arial" w:cs="Arial"/>
                <w:sz w:val="20"/>
                <w:szCs w:val="20"/>
              </w:rPr>
              <w:t>provide a concierge service to ensure students receive appropriate, high-level support in the Learning and Career Hub</w:t>
            </w:r>
            <w:r w:rsidR="00D22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E4" w:rsidRPr="00D22D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E4" w:rsidRPr="00D22D32">
              <w:rPr>
                <w:rFonts w:ascii="Arial" w:hAnsi="Arial" w:cs="Arial"/>
                <w:i/>
                <w:iCs/>
                <w:sz w:val="20"/>
                <w:szCs w:val="20"/>
              </w:rPr>
              <w:t>[see also (h) above</w:t>
            </w:r>
            <w:r w:rsidR="00D10FE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D0CBF" w:rsidRPr="00087893" w14:paraId="5E3F3B9E" w14:textId="77777777" w:rsidTr="00D7764F">
        <w:trPr>
          <w:cantSplit/>
        </w:trPr>
        <w:tc>
          <w:tcPr>
            <w:tcW w:w="4654" w:type="dxa"/>
          </w:tcPr>
          <w:p w14:paraId="5ED1BDCC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advising on matters arising under the higher education provider’s rules (however described)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14:paraId="2F6B12ED" w14:textId="77777777" w:rsidR="003D0CBF" w:rsidRPr="00087893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6" w:type="dxa"/>
            <w:shd w:val="clear" w:color="auto" w:fill="auto"/>
          </w:tcPr>
          <w:p w14:paraId="39C1E371" w14:textId="77777777" w:rsidR="003D0CBF" w:rsidRPr="001A516B" w:rsidRDefault="0017723C" w:rsidP="00CD1A31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>e</w:t>
            </w:r>
            <w:r w:rsidR="00B461D4" w:rsidRPr="001A516B">
              <w:rPr>
                <w:rFonts w:ascii="Arial" w:hAnsi="Arial" w:cs="Arial"/>
                <w:sz w:val="20"/>
                <w:szCs w:val="20"/>
              </w:rPr>
              <w:t>nhance processes and systems for managing student complaints and appeals</w:t>
            </w:r>
          </w:p>
        </w:tc>
      </w:tr>
      <w:tr w:rsidR="003D0CBF" w:rsidRPr="00087893" w14:paraId="3DBEBCB5" w14:textId="77777777" w:rsidTr="005D3DA4">
        <w:trPr>
          <w:cantSplit/>
        </w:trPr>
        <w:tc>
          <w:tcPr>
            <w:tcW w:w="4654" w:type="dxa"/>
          </w:tcPr>
          <w:p w14:paraId="3ADF06DF" w14:textId="77777777" w:rsidR="003D0CBF" w:rsidRPr="00087893" w:rsidRDefault="005A54A7" w:rsidP="00CD1A31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0CBF" w:rsidRPr="00087893">
              <w:rPr>
                <w:rFonts w:ascii="Arial" w:hAnsi="Arial" w:cs="Arial"/>
                <w:sz w:val="20"/>
                <w:szCs w:val="20"/>
              </w:rPr>
              <w:t>advocating students’ interests in matters arising under the higher education provider’s rules (however described)</w:t>
            </w:r>
          </w:p>
        </w:tc>
        <w:tc>
          <w:tcPr>
            <w:tcW w:w="4648" w:type="dxa"/>
            <w:shd w:val="clear" w:color="auto" w:fill="auto"/>
          </w:tcPr>
          <w:p w14:paraId="19177720" w14:textId="025F89F0" w:rsidR="002E666C" w:rsidRDefault="00CA6CED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representation and </w:t>
            </w:r>
            <w:r>
              <w:rPr>
                <w:rFonts w:ascii="Arial" w:hAnsi="Arial" w:cs="Arial"/>
                <w:sz w:val="20"/>
                <w:szCs w:val="20"/>
              </w:rPr>
              <w:t>advocacy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 for students through the Guild’s </w:t>
            </w:r>
            <w:r w:rsidR="00712A69">
              <w:rPr>
                <w:rFonts w:ascii="Arial" w:hAnsi="Arial" w:cs="Arial"/>
                <w:sz w:val="20"/>
                <w:szCs w:val="20"/>
              </w:rPr>
              <w:t>Advisory Service</w:t>
            </w:r>
          </w:p>
          <w:p w14:paraId="3441BF7F" w14:textId="520974FE" w:rsidR="00CA6CED" w:rsidRDefault="00CA6CED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712A69">
              <w:rPr>
                <w:rFonts w:ascii="Arial" w:hAnsi="Arial" w:cs="Arial"/>
                <w:sz w:val="20"/>
                <w:szCs w:val="20"/>
              </w:rPr>
              <w:t>Student Representative for all meetings of the SAC</w:t>
            </w:r>
          </w:p>
          <w:p w14:paraId="1E564426" w14:textId="77777777" w:rsidR="008B25CC" w:rsidRDefault="008B25CC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national advocacy for student rights through accreditation with the National Union of Students</w:t>
            </w:r>
          </w:p>
          <w:p w14:paraId="584A9589" w14:textId="00412062" w:rsidR="00712A69" w:rsidRDefault="00712A69" w:rsidP="00CA6CED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Guild representation on University Committees and Boards</w:t>
            </w:r>
          </w:p>
          <w:p w14:paraId="595C3FCE" w14:textId="146FAE9E" w:rsidR="00712A69" w:rsidRPr="00B10873" w:rsidRDefault="00102034" w:rsidP="00102034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193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2A69" w:rsidRPr="00B10873">
              <w:rPr>
                <w:rFonts w:ascii="Arial" w:hAnsi="Arial" w:cs="Arial"/>
                <w:sz w:val="20"/>
                <w:szCs w:val="20"/>
              </w:rPr>
              <w:t>dvocate on behalf of the broad ECU student body</w:t>
            </w:r>
            <w:r>
              <w:rPr>
                <w:rFonts w:ascii="Arial" w:hAnsi="Arial" w:cs="Arial"/>
                <w:sz w:val="20"/>
                <w:szCs w:val="20"/>
              </w:rPr>
              <w:t>; s</w:t>
            </w:r>
            <w:r w:rsidR="00712A69" w:rsidRPr="00B10873">
              <w:rPr>
                <w:rFonts w:ascii="Arial" w:hAnsi="Arial" w:cs="Arial"/>
                <w:sz w:val="20"/>
                <w:szCs w:val="20"/>
              </w:rPr>
              <w:t>uch advocacy to include representations to the University and to external government bodies.</w:t>
            </w:r>
          </w:p>
        </w:tc>
        <w:tc>
          <w:tcPr>
            <w:tcW w:w="4646" w:type="dxa"/>
            <w:shd w:val="clear" w:color="auto" w:fill="D9D9D9" w:themeFill="background1" w:themeFillShade="D9"/>
          </w:tcPr>
          <w:p w14:paraId="4308A56A" w14:textId="77777777" w:rsidR="003D0CBF" w:rsidRPr="001A516B" w:rsidRDefault="003D0CBF" w:rsidP="00CD1A31">
            <w:pPr>
              <w:pStyle w:val="ListParagraph"/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D69" w:rsidRPr="00087893" w14:paraId="196B8F7E" w14:textId="77777777" w:rsidTr="00583F78">
        <w:trPr>
          <w:cantSplit/>
        </w:trPr>
        <w:tc>
          <w:tcPr>
            <w:tcW w:w="4654" w:type="dxa"/>
          </w:tcPr>
          <w:p w14:paraId="595A467E" w14:textId="77777777" w:rsidR="00AB6D69" w:rsidRPr="00087893" w:rsidRDefault="00AB6D69" w:rsidP="00AB6D69">
            <w:pPr>
              <w:spacing w:beforeLines="20" w:before="48" w:afterLines="20" w:after="48" w:line="240" w:lineRule="atLeast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(r)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7893">
              <w:rPr>
                <w:rFonts w:ascii="Arial" w:hAnsi="Arial" w:cs="Arial"/>
                <w:sz w:val="20"/>
                <w:szCs w:val="20"/>
              </w:rPr>
              <w:t>giving students information to help them in their orientation</w:t>
            </w:r>
          </w:p>
        </w:tc>
        <w:tc>
          <w:tcPr>
            <w:tcW w:w="4648" w:type="dxa"/>
            <w:shd w:val="clear" w:color="auto" w:fill="auto"/>
          </w:tcPr>
          <w:p w14:paraId="774F2856" w14:textId="77777777" w:rsidR="00AB6D69" w:rsidRDefault="003255DB" w:rsidP="003255D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Guild and affiliated clubs</w:t>
            </w:r>
            <w:r w:rsidR="008B25CC">
              <w:rPr>
                <w:rFonts w:ascii="Arial" w:hAnsi="Arial" w:cs="Arial"/>
                <w:sz w:val="20"/>
                <w:szCs w:val="20"/>
              </w:rPr>
              <w:t>, societies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collectives are represented at orientation days</w:t>
            </w:r>
          </w:p>
          <w:p w14:paraId="32CB5FE8" w14:textId="4FDA045F" w:rsidR="00C204DC" w:rsidRDefault="00C204DC" w:rsidP="003255DB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run Guild </w:t>
            </w:r>
            <w:r w:rsidR="00712A69">
              <w:rPr>
                <w:rFonts w:ascii="Arial" w:hAnsi="Arial" w:cs="Arial"/>
                <w:sz w:val="20"/>
                <w:szCs w:val="20"/>
              </w:rPr>
              <w:t xml:space="preserve">Fair </w:t>
            </w:r>
            <w:r>
              <w:rPr>
                <w:rFonts w:ascii="Arial" w:hAnsi="Arial" w:cs="Arial"/>
                <w:sz w:val="20"/>
                <w:szCs w:val="20"/>
              </w:rPr>
              <w:t>events each semester, in which clubs, societies, and collectives can recruit members as well as promote the activities of those affiliates; and also provide information to all students about Guild services</w:t>
            </w:r>
          </w:p>
          <w:p w14:paraId="3F2B1A14" w14:textId="119C6FE3" w:rsidR="003255DB" w:rsidRPr="00087893" w:rsidRDefault="003255DB" w:rsidP="00B10873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range of merchandise including </w:t>
            </w:r>
            <w:r w:rsidR="00712A69">
              <w:rPr>
                <w:rFonts w:ascii="Arial" w:hAnsi="Arial" w:cs="Arial"/>
                <w:sz w:val="20"/>
                <w:szCs w:val="20"/>
              </w:rPr>
              <w:t>Guild</w:t>
            </w:r>
            <w:r w:rsidR="00F067C6">
              <w:rPr>
                <w:rFonts w:ascii="Arial" w:hAnsi="Arial" w:cs="Arial"/>
                <w:sz w:val="20"/>
                <w:szCs w:val="20"/>
              </w:rPr>
              <w:t xml:space="preserve"> bags and </w:t>
            </w:r>
            <w:r>
              <w:rPr>
                <w:rFonts w:ascii="Arial" w:hAnsi="Arial" w:cs="Arial"/>
                <w:sz w:val="20"/>
                <w:szCs w:val="20"/>
              </w:rPr>
              <w:t>Student Diaries for new Guild members on orientation days</w:t>
            </w:r>
            <w:r w:rsidR="005E6FC8">
              <w:rPr>
                <w:rFonts w:ascii="Arial" w:hAnsi="Arial" w:cs="Arial"/>
                <w:sz w:val="20"/>
                <w:szCs w:val="20"/>
              </w:rPr>
              <w:t xml:space="preserve"> and Guild </w:t>
            </w:r>
            <w:r w:rsidR="00712A69">
              <w:rPr>
                <w:rFonts w:ascii="Arial" w:hAnsi="Arial" w:cs="Arial"/>
                <w:sz w:val="20"/>
                <w:szCs w:val="20"/>
              </w:rPr>
              <w:t>Fairs</w:t>
            </w:r>
            <w:r w:rsidR="00C204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14:paraId="73944016" w14:textId="77777777" w:rsidR="00AB6D69" w:rsidRPr="001A516B" w:rsidRDefault="00AB6D69" w:rsidP="00AB6D69">
            <w:pPr>
              <w:pStyle w:val="ListParagraph"/>
              <w:numPr>
                <w:ilvl w:val="0"/>
                <w:numId w:val="1"/>
              </w:numPr>
              <w:spacing w:beforeLines="20" w:before="48" w:afterLines="20" w:after="48" w:line="240" w:lineRule="atLeast"/>
              <w:ind w:left="238" w:hanging="19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A516B">
              <w:rPr>
                <w:rFonts w:ascii="Arial" w:hAnsi="Arial" w:cs="Arial"/>
                <w:sz w:val="20"/>
                <w:szCs w:val="20"/>
              </w:rPr>
              <w:t xml:space="preserve">provide orientation </w:t>
            </w:r>
            <w:r w:rsidR="002D40C5" w:rsidRPr="001A516B">
              <w:rPr>
                <w:rFonts w:ascii="Arial" w:hAnsi="Arial" w:cs="Arial"/>
                <w:sz w:val="20"/>
                <w:szCs w:val="20"/>
              </w:rPr>
              <w:t xml:space="preserve">and transition </w:t>
            </w:r>
            <w:r w:rsidRPr="001A516B">
              <w:rPr>
                <w:rFonts w:ascii="Arial" w:hAnsi="Arial" w:cs="Arial"/>
                <w:sz w:val="20"/>
                <w:szCs w:val="20"/>
              </w:rPr>
              <w:t>programs for all students</w:t>
            </w:r>
          </w:p>
        </w:tc>
      </w:tr>
    </w:tbl>
    <w:p w14:paraId="0A07B9D6" w14:textId="77777777" w:rsidR="00B10873" w:rsidRDefault="00B10873" w:rsidP="000070A3">
      <w:pPr>
        <w:spacing w:before="60" w:after="40"/>
        <w:rPr>
          <w:rFonts w:ascii="Arial" w:hAnsi="Arial" w:cs="Arial"/>
          <w:b/>
          <w:sz w:val="18"/>
          <w:szCs w:val="18"/>
        </w:rPr>
      </w:pPr>
    </w:p>
    <w:p w14:paraId="1CCC9448" w14:textId="547343FA" w:rsidR="00C72EF4" w:rsidRPr="000070A3" w:rsidRDefault="00C72EF4" w:rsidP="000070A3">
      <w:pPr>
        <w:spacing w:before="60" w:after="40"/>
        <w:rPr>
          <w:rFonts w:ascii="Arial" w:hAnsi="Arial" w:cs="Arial"/>
          <w:b/>
          <w:sz w:val="18"/>
          <w:szCs w:val="18"/>
        </w:rPr>
      </w:pPr>
      <w:r w:rsidRPr="000070A3">
        <w:rPr>
          <w:rFonts w:ascii="Arial" w:hAnsi="Arial" w:cs="Arial"/>
          <w:b/>
          <w:sz w:val="18"/>
          <w:szCs w:val="18"/>
        </w:rPr>
        <w:t>Notes:</w:t>
      </w:r>
    </w:p>
    <w:p w14:paraId="6F614BE5" w14:textId="77777777" w:rsidR="000070A3" w:rsidRPr="000070A3" w:rsidRDefault="000070A3" w:rsidP="000070A3">
      <w:pPr>
        <w:pStyle w:val="ListParagraph"/>
        <w:numPr>
          <w:ilvl w:val="0"/>
          <w:numId w:val="5"/>
        </w:numPr>
        <w:spacing w:after="40" w:line="260" w:lineRule="atLeast"/>
        <w:ind w:leftChars="55" w:left="425" w:hangingChars="169" w:hanging="304"/>
        <w:contextualSpacing w:val="0"/>
        <w:rPr>
          <w:rFonts w:ascii="Arial" w:hAnsi="Arial" w:cs="Arial"/>
          <w:sz w:val="18"/>
          <w:szCs w:val="18"/>
        </w:rPr>
      </w:pPr>
      <w:r w:rsidRPr="000070A3">
        <w:rPr>
          <w:rFonts w:ascii="Arial" w:hAnsi="Arial" w:cs="Arial"/>
          <w:sz w:val="18"/>
          <w:szCs w:val="18"/>
        </w:rPr>
        <w:t xml:space="preserve">The categories </w:t>
      </w:r>
      <w:r>
        <w:rPr>
          <w:rFonts w:ascii="Arial" w:hAnsi="Arial" w:cs="Arial"/>
          <w:sz w:val="18"/>
          <w:szCs w:val="18"/>
        </w:rPr>
        <w:t xml:space="preserve">set out in the first column </w:t>
      </w:r>
      <w:r w:rsidRPr="000070A3">
        <w:rPr>
          <w:rFonts w:ascii="Arial" w:hAnsi="Arial" w:cs="Arial"/>
          <w:sz w:val="18"/>
          <w:szCs w:val="18"/>
        </w:rPr>
        <w:t xml:space="preserve">are prescribed by the </w:t>
      </w:r>
      <w:r w:rsidRPr="00D8766D">
        <w:rPr>
          <w:rFonts w:ascii="Arial" w:hAnsi="Arial" w:cs="Arial"/>
          <w:i/>
          <w:iCs/>
          <w:sz w:val="18"/>
          <w:szCs w:val="18"/>
        </w:rPr>
        <w:t>Commonwealth Government in the Higher Education Support Act</w:t>
      </w:r>
      <w:r w:rsidRPr="000070A3">
        <w:rPr>
          <w:rFonts w:ascii="Arial" w:hAnsi="Arial" w:cs="Arial"/>
          <w:sz w:val="18"/>
          <w:szCs w:val="18"/>
        </w:rPr>
        <w:t xml:space="preserve"> 2003 (Section 19-38).</w:t>
      </w:r>
    </w:p>
    <w:p w14:paraId="02A983CF" w14:textId="3F1251A6" w:rsidR="00C72EF4" w:rsidRPr="00241CC5" w:rsidRDefault="00C72EF4" w:rsidP="00241CC5">
      <w:pPr>
        <w:pStyle w:val="ListParagraph"/>
        <w:numPr>
          <w:ilvl w:val="0"/>
          <w:numId w:val="5"/>
        </w:numPr>
        <w:spacing w:after="40" w:line="260" w:lineRule="atLeast"/>
        <w:ind w:leftChars="55" w:left="425" w:hangingChars="169" w:hanging="304"/>
        <w:contextualSpacing w:val="0"/>
        <w:rPr>
          <w:rFonts w:ascii="Arial" w:hAnsi="Arial" w:cs="Arial"/>
          <w:sz w:val="18"/>
          <w:szCs w:val="18"/>
        </w:rPr>
      </w:pPr>
      <w:r w:rsidRPr="000070A3">
        <w:rPr>
          <w:rFonts w:ascii="Arial" w:hAnsi="Arial" w:cs="Arial"/>
          <w:sz w:val="18"/>
          <w:szCs w:val="18"/>
        </w:rPr>
        <w:t>An absence of funding in the University’s column for any category does not necessarily indicate that the University is not active in that area: a funding source other than the SSAF may be used to support that category.</w:t>
      </w:r>
      <w:r w:rsidR="00B10873">
        <w:rPr>
          <w:rFonts w:ascii="Arial" w:hAnsi="Arial" w:cs="Arial"/>
          <w:sz w:val="18"/>
          <w:szCs w:val="18"/>
        </w:rPr>
        <w:t>(m)</w:t>
      </w:r>
    </w:p>
    <w:sectPr w:rsidR="00C72EF4" w:rsidRPr="00241CC5" w:rsidSect="00752D74">
      <w:footerReference w:type="default" r:id="rId14"/>
      <w:pgSz w:w="16838" w:h="11906" w:orient="landscape"/>
      <w:pgMar w:top="709" w:right="1440" w:bottom="568" w:left="144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00D0" w14:textId="77777777" w:rsidR="00E36F41" w:rsidRDefault="00E36F41" w:rsidP="00087893">
      <w:pPr>
        <w:spacing w:after="0" w:line="240" w:lineRule="auto"/>
      </w:pPr>
      <w:r>
        <w:separator/>
      </w:r>
    </w:p>
  </w:endnote>
  <w:endnote w:type="continuationSeparator" w:id="0">
    <w:p w14:paraId="1774800B" w14:textId="77777777" w:rsidR="00E36F41" w:rsidRDefault="00E36F41" w:rsidP="000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75D" w14:textId="470A318F" w:rsidR="00752D74" w:rsidRPr="00752D74" w:rsidRDefault="00752D74" w:rsidP="00752D74">
    <w:pPr>
      <w:pStyle w:val="Footer"/>
      <w:jc w:val="right"/>
      <w:rPr>
        <w:rFonts w:ascii="Arial" w:hAnsi="Arial" w:cs="Arial"/>
        <w:i/>
        <w:sz w:val="18"/>
        <w:szCs w:val="18"/>
      </w:rPr>
    </w:pPr>
    <w:r w:rsidRPr="00752D74">
      <w:rPr>
        <w:rFonts w:ascii="Arial" w:hAnsi="Arial" w:cs="Arial"/>
        <w:i/>
        <w:sz w:val="18"/>
        <w:szCs w:val="18"/>
      </w:rPr>
      <w:t xml:space="preserve">Page </w:t>
    </w:r>
    <w:r w:rsidRPr="00752D74">
      <w:rPr>
        <w:rFonts w:ascii="Arial" w:hAnsi="Arial" w:cs="Arial"/>
        <w:i/>
        <w:sz w:val="18"/>
        <w:szCs w:val="18"/>
      </w:rPr>
      <w:fldChar w:fldCharType="begin"/>
    </w:r>
    <w:r w:rsidRPr="00752D74">
      <w:rPr>
        <w:rFonts w:ascii="Arial" w:hAnsi="Arial" w:cs="Arial"/>
        <w:i/>
        <w:sz w:val="18"/>
        <w:szCs w:val="18"/>
      </w:rPr>
      <w:instrText xml:space="preserve"> PAGE   \* MERGEFORMAT </w:instrText>
    </w:r>
    <w:r w:rsidRPr="00752D74">
      <w:rPr>
        <w:rFonts w:ascii="Arial" w:hAnsi="Arial" w:cs="Arial"/>
        <w:i/>
        <w:sz w:val="18"/>
        <w:szCs w:val="18"/>
      </w:rPr>
      <w:fldChar w:fldCharType="separate"/>
    </w:r>
    <w:r w:rsidR="00712A69">
      <w:rPr>
        <w:rFonts w:ascii="Arial" w:hAnsi="Arial" w:cs="Arial"/>
        <w:i/>
        <w:noProof/>
        <w:sz w:val="18"/>
        <w:szCs w:val="18"/>
      </w:rPr>
      <w:t>4</w:t>
    </w:r>
    <w:r w:rsidRPr="00752D74">
      <w:rPr>
        <w:rFonts w:ascii="Arial" w:hAnsi="Arial" w:cs="Arial"/>
        <w:i/>
        <w:sz w:val="18"/>
        <w:szCs w:val="18"/>
      </w:rPr>
      <w:fldChar w:fldCharType="end"/>
    </w:r>
    <w:r w:rsidRPr="00752D74">
      <w:rPr>
        <w:rFonts w:ascii="Arial" w:hAnsi="Arial" w:cs="Arial"/>
        <w:i/>
        <w:sz w:val="18"/>
        <w:szCs w:val="18"/>
      </w:rPr>
      <w:t xml:space="preserve"> of </w:t>
    </w:r>
    <w:r w:rsidRPr="00752D74">
      <w:rPr>
        <w:rFonts w:ascii="Arial" w:hAnsi="Arial" w:cs="Arial"/>
        <w:i/>
        <w:sz w:val="18"/>
        <w:szCs w:val="18"/>
      </w:rPr>
      <w:fldChar w:fldCharType="begin"/>
    </w:r>
    <w:r w:rsidRPr="00752D74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752D74">
      <w:rPr>
        <w:rFonts w:ascii="Arial" w:hAnsi="Arial" w:cs="Arial"/>
        <w:i/>
        <w:sz w:val="18"/>
        <w:szCs w:val="18"/>
      </w:rPr>
      <w:fldChar w:fldCharType="separate"/>
    </w:r>
    <w:r w:rsidR="00712A69">
      <w:rPr>
        <w:rFonts w:ascii="Arial" w:hAnsi="Arial" w:cs="Arial"/>
        <w:i/>
        <w:noProof/>
        <w:sz w:val="18"/>
        <w:szCs w:val="18"/>
      </w:rPr>
      <w:t>4</w:t>
    </w:r>
    <w:r w:rsidRPr="00752D74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0852" w14:textId="77777777" w:rsidR="00E36F41" w:rsidRDefault="00E36F41" w:rsidP="00087893">
      <w:pPr>
        <w:spacing w:after="0" w:line="240" w:lineRule="auto"/>
      </w:pPr>
      <w:r>
        <w:separator/>
      </w:r>
    </w:p>
  </w:footnote>
  <w:footnote w:type="continuationSeparator" w:id="0">
    <w:p w14:paraId="17948CC5" w14:textId="77777777" w:rsidR="00E36F41" w:rsidRDefault="00E36F41" w:rsidP="000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C7"/>
    <w:multiLevelType w:val="hybridMultilevel"/>
    <w:tmpl w:val="4D8436FE"/>
    <w:lvl w:ilvl="0" w:tplc="673CF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4730"/>
    <w:multiLevelType w:val="hybridMultilevel"/>
    <w:tmpl w:val="76783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BA3"/>
    <w:multiLevelType w:val="hybridMultilevel"/>
    <w:tmpl w:val="CE18EA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C60BB"/>
    <w:multiLevelType w:val="hybridMultilevel"/>
    <w:tmpl w:val="23921754"/>
    <w:lvl w:ilvl="0" w:tplc="A6DAA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147D"/>
    <w:multiLevelType w:val="hybridMultilevel"/>
    <w:tmpl w:val="BC221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0E37"/>
    <w:multiLevelType w:val="hybridMultilevel"/>
    <w:tmpl w:val="F54C07A0"/>
    <w:lvl w:ilvl="0" w:tplc="A6DAA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83989">
    <w:abstractNumId w:val="4"/>
  </w:num>
  <w:num w:numId="2" w16cid:durableId="429280802">
    <w:abstractNumId w:val="2"/>
  </w:num>
  <w:num w:numId="3" w16cid:durableId="312491052">
    <w:abstractNumId w:val="0"/>
  </w:num>
  <w:num w:numId="4" w16cid:durableId="1397127720">
    <w:abstractNumId w:val="3"/>
  </w:num>
  <w:num w:numId="5" w16cid:durableId="847135838">
    <w:abstractNumId w:val="5"/>
  </w:num>
  <w:num w:numId="6" w16cid:durableId="58576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BF"/>
    <w:rsid w:val="000070A3"/>
    <w:rsid w:val="0004120B"/>
    <w:rsid w:val="00041873"/>
    <w:rsid w:val="00046419"/>
    <w:rsid w:val="00051F54"/>
    <w:rsid w:val="00087893"/>
    <w:rsid w:val="000A3977"/>
    <w:rsid w:val="000A4C12"/>
    <w:rsid w:val="000B2970"/>
    <w:rsid w:val="000C6248"/>
    <w:rsid w:val="000D6DDF"/>
    <w:rsid w:val="000E2F7D"/>
    <w:rsid w:val="000E480B"/>
    <w:rsid w:val="000E54AF"/>
    <w:rsid w:val="00102034"/>
    <w:rsid w:val="00120B30"/>
    <w:rsid w:val="00121E8C"/>
    <w:rsid w:val="0017723C"/>
    <w:rsid w:val="001848F3"/>
    <w:rsid w:val="001A1BED"/>
    <w:rsid w:val="001A516B"/>
    <w:rsid w:val="001B3F4C"/>
    <w:rsid w:val="001B6884"/>
    <w:rsid w:val="001E2474"/>
    <w:rsid w:val="00233895"/>
    <w:rsid w:val="00241CC5"/>
    <w:rsid w:val="00246EB5"/>
    <w:rsid w:val="002859C3"/>
    <w:rsid w:val="002A6479"/>
    <w:rsid w:val="002C0C4C"/>
    <w:rsid w:val="002C3D00"/>
    <w:rsid w:val="002D40C5"/>
    <w:rsid w:val="002E666C"/>
    <w:rsid w:val="0030682A"/>
    <w:rsid w:val="00316BCF"/>
    <w:rsid w:val="003255DB"/>
    <w:rsid w:val="00326BB6"/>
    <w:rsid w:val="0034197B"/>
    <w:rsid w:val="00391822"/>
    <w:rsid w:val="003D0CBF"/>
    <w:rsid w:val="003D7A0C"/>
    <w:rsid w:val="003F6836"/>
    <w:rsid w:val="0043222B"/>
    <w:rsid w:val="004375B6"/>
    <w:rsid w:val="00443C5B"/>
    <w:rsid w:val="0044617F"/>
    <w:rsid w:val="00462454"/>
    <w:rsid w:val="004947D0"/>
    <w:rsid w:val="004B19BA"/>
    <w:rsid w:val="004F0EB1"/>
    <w:rsid w:val="004F6328"/>
    <w:rsid w:val="004F776A"/>
    <w:rsid w:val="00583F78"/>
    <w:rsid w:val="00593A74"/>
    <w:rsid w:val="005A54A7"/>
    <w:rsid w:val="005B33E3"/>
    <w:rsid w:val="005D3DA4"/>
    <w:rsid w:val="005E6FC8"/>
    <w:rsid w:val="00600DBA"/>
    <w:rsid w:val="0068297D"/>
    <w:rsid w:val="006C47CE"/>
    <w:rsid w:val="006E1181"/>
    <w:rsid w:val="00712A69"/>
    <w:rsid w:val="00721DD4"/>
    <w:rsid w:val="007248DC"/>
    <w:rsid w:val="00733EB9"/>
    <w:rsid w:val="00752D74"/>
    <w:rsid w:val="00785B6A"/>
    <w:rsid w:val="007E2188"/>
    <w:rsid w:val="008232B2"/>
    <w:rsid w:val="008320D1"/>
    <w:rsid w:val="00837F01"/>
    <w:rsid w:val="00842757"/>
    <w:rsid w:val="0089111F"/>
    <w:rsid w:val="008B25CC"/>
    <w:rsid w:val="008B33D2"/>
    <w:rsid w:val="008C00D3"/>
    <w:rsid w:val="008C68DB"/>
    <w:rsid w:val="008D0A65"/>
    <w:rsid w:val="009156FB"/>
    <w:rsid w:val="00930080"/>
    <w:rsid w:val="00933513"/>
    <w:rsid w:val="00943E35"/>
    <w:rsid w:val="00971FCB"/>
    <w:rsid w:val="00980D67"/>
    <w:rsid w:val="009B4A3B"/>
    <w:rsid w:val="009D6CFA"/>
    <w:rsid w:val="00A235A8"/>
    <w:rsid w:val="00A31F68"/>
    <w:rsid w:val="00A65B24"/>
    <w:rsid w:val="00A80895"/>
    <w:rsid w:val="00A854B6"/>
    <w:rsid w:val="00AB6D69"/>
    <w:rsid w:val="00AB7BE7"/>
    <w:rsid w:val="00AE0C65"/>
    <w:rsid w:val="00B10873"/>
    <w:rsid w:val="00B15A8C"/>
    <w:rsid w:val="00B461D4"/>
    <w:rsid w:val="00B522FC"/>
    <w:rsid w:val="00B70A57"/>
    <w:rsid w:val="00B7390D"/>
    <w:rsid w:val="00C01092"/>
    <w:rsid w:val="00C04EB6"/>
    <w:rsid w:val="00C07863"/>
    <w:rsid w:val="00C10F44"/>
    <w:rsid w:val="00C12C91"/>
    <w:rsid w:val="00C204DC"/>
    <w:rsid w:val="00C24C2C"/>
    <w:rsid w:val="00C25968"/>
    <w:rsid w:val="00C40D59"/>
    <w:rsid w:val="00C55DE9"/>
    <w:rsid w:val="00C636F7"/>
    <w:rsid w:val="00C72EF4"/>
    <w:rsid w:val="00CA6CED"/>
    <w:rsid w:val="00CA6EB4"/>
    <w:rsid w:val="00CB11AB"/>
    <w:rsid w:val="00CC11D2"/>
    <w:rsid w:val="00CD1A31"/>
    <w:rsid w:val="00CF1FB0"/>
    <w:rsid w:val="00D10FE4"/>
    <w:rsid w:val="00D223F2"/>
    <w:rsid w:val="00D22D32"/>
    <w:rsid w:val="00D26D40"/>
    <w:rsid w:val="00D506B1"/>
    <w:rsid w:val="00D7764F"/>
    <w:rsid w:val="00D8766D"/>
    <w:rsid w:val="00DA0645"/>
    <w:rsid w:val="00E36F41"/>
    <w:rsid w:val="00E3735E"/>
    <w:rsid w:val="00E91174"/>
    <w:rsid w:val="00EA4EFD"/>
    <w:rsid w:val="00EB3685"/>
    <w:rsid w:val="00ED0D19"/>
    <w:rsid w:val="00F067C6"/>
    <w:rsid w:val="00F47B14"/>
    <w:rsid w:val="00F57631"/>
    <w:rsid w:val="00F63DBE"/>
    <w:rsid w:val="00F867EA"/>
    <w:rsid w:val="00F94445"/>
    <w:rsid w:val="00FB7B0E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1042"/>
  <w15:docId w15:val="{8AAAC707-4E62-4754-BD6B-858E8FA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93"/>
  </w:style>
  <w:style w:type="paragraph" w:styleId="Footer">
    <w:name w:val="footer"/>
    <w:basedOn w:val="Normal"/>
    <w:link w:val="FooterChar"/>
    <w:uiPriority w:val="99"/>
    <w:unhideWhenUsed/>
    <w:rsid w:val="00087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93"/>
  </w:style>
  <w:style w:type="paragraph" w:customStyle="1" w:styleId="Default">
    <w:name w:val="Default"/>
    <w:rsid w:val="00087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4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A3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6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6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uguild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iversitygovernance@ecu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ident@ecuguild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3d447-1b4f-4aee-aa6f-0957ea5f4eba"/>
    <lcf76f155ced4ddcb4097134ff3c332f xmlns="70c30930-6ece-4050-aadf-d34cd5558f0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D0CFBA78A7429C4B7BF55126FC82" ma:contentTypeVersion="16" ma:contentTypeDescription="Create a new document." ma:contentTypeScope="" ma:versionID="1a2fb903e127efa0a1cd4d28fe4b4774">
  <xsd:schema xmlns:xsd="http://www.w3.org/2001/XMLSchema" xmlns:xs="http://www.w3.org/2001/XMLSchema" xmlns:p="http://schemas.microsoft.com/office/2006/metadata/properties" xmlns:ns2="70c30930-6ece-4050-aadf-d34cd5558f0c" xmlns:ns3="8fa3d447-1b4f-4aee-aa6f-0957ea5f4eba" targetNamespace="http://schemas.microsoft.com/office/2006/metadata/properties" ma:root="true" ma:fieldsID="0275c4a267f35534051e5dfab65b1bad" ns2:_="" ns3:_="">
    <xsd:import namespace="70c30930-6ece-4050-aadf-d34cd5558f0c"/>
    <xsd:import namespace="8fa3d447-1b4f-4aee-aa6f-0957ea5f4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30930-6ece-4050-aadf-d34cd555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49537f-f4e8-4af0-88ab-3b6773720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d447-1b4f-4aee-aa6f-0957ea5f4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2e9cbd-8be7-44ab-8205-d5669554ee92}" ma:internalName="TaxCatchAll" ma:showField="CatchAllData" ma:web="8fa3d447-1b4f-4aee-aa6f-0957ea5f4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27965-78A8-42A4-A0E9-BC7749CDE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129E5-0BA1-4604-A759-0129EE810F08}">
  <ds:schemaRefs>
    <ds:schemaRef ds:uri="70c30930-6ece-4050-aadf-d34cd5558f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a3d447-1b4f-4aee-aa6f-0957ea5f4e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C079A8-B2A1-421D-AB11-7E467C5ED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5D6CC1-9AC6-498D-A59A-2C9F718D7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30930-6ece-4050-aadf-d34cd5558f0c"/>
    <ds:schemaRef ds:uri="8fa3d447-1b4f-4aee-aa6f-0957ea5f4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RIDGWELL</dc:creator>
  <cp:lastModifiedBy>Rajes SHENTON</cp:lastModifiedBy>
  <cp:revision>9</cp:revision>
  <cp:lastPrinted>2019-08-15T13:03:00Z</cp:lastPrinted>
  <dcterms:created xsi:type="dcterms:W3CDTF">2023-03-07T02:34:00Z</dcterms:created>
  <dcterms:modified xsi:type="dcterms:W3CDTF">2023-03-16T09:20:00Z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0x010100F220D0CFBA78A7429C4B7BF55126FC82</vt:lpwstr>
  </property>
</Properties>
</file>