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2621B" w14:textId="77777777" w:rsidR="00194572" w:rsidRPr="00022387" w:rsidRDefault="00194572" w:rsidP="00194572">
      <w:pPr>
        <w:pStyle w:val="Heading1"/>
      </w:pPr>
      <w:r w:rsidRPr="00022387">
        <w:rPr>
          <w:sz w:val="40"/>
          <w:szCs w:val="40"/>
        </w:rPr>
        <w:t>I</w:t>
      </w:r>
      <w:r w:rsidRPr="00022387">
        <w:t xml:space="preserve">NTEGRATIVE </w:t>
      </w:r>
      <w:r w:rsidRPr="00022387">
        <w:rPr>
          <w:sz w:val="40"/>
          <w:szCs w:val="40"/>
        </w:rPr>
        <w:t>L</w:t>
      </w:r>
      <w:r w:rsidRPr="00022387">
        <w:t xml:space="preserve">EARNING </w:t>
      </w:r>
      <w:r w:rsidRPr="00022387">
        <w:rPr>
          <w:sz w:val="40"/>
          <w:szCs w:val="40"/>
        </w:rPr>
        <w:t>VALUE R</w:t>
      </w:r>
      <w:r w:rsidRPr="00022387">
        <w:t xml:space="preserve">UBRIC </w:t>
      </w:r>
    </w:p>
    <w:p w14:paraId="386A7D67" w14:textId="77777777" w:rsidR="00194572" w:rsidRPr="00022387" w:rsidRDefault="00194572" w:rsidP="00194572">
      <w:pPr>
        <w:pStyle w:val="Heading2"/>
      </w:pPr>
      <w:r w:rsidRPr="00022387">
        <w:t xml:space="preserve">Definition </w:t>
      </w:r>
    </w:p>
    <w:p w14:paraId="685998DB" w14:textId="77777777" w:rsidR="00194572" w:rsidRPr="00022387" w:rsidRDefault="00194572" w:rsidP="00194572">
      <w:pPr>
        <w:pStyle w:val="CM32"/>
        <w:spacing w:after="120" w:line="276" w:lineRule="auto"/>
        <w:jc w:val="both"/>
        <w:rPr>
          <w:rFonts w:asciiTheme="majorHAnsi" w:hAnsiTheme="majorHAnsi" w:cs="Garamond"/>
          <w:sz w:val="22"/>
          <w:szCs w:val="22"/>
        </w:rPr>
      </w:pPr>
      <w:r w:rsidRPr="00022387">
        <w:rPr>
          <w:rFonts w:asciiTheme="majorHAnsi" w:hAnsiTheme="majorHAnsi" w:cs="Garamond"/>
          <w:sz w:val="22"/>
          <w:szCs w:val="22"/>
        </w:rPr>
        <w:t>Integrative learning is an understanding and a disposition that a student builds across the curriculum and co</w:t>
      </w:r>
      <w:r>
        <w:rPr>
          <w:rFonts w:asciiTheme="majorHAnsi" w:hAnsiTheme="majorHAnsi" w:cs="Garamond"/>
          <w:sz w:val="22"/>
          <w:szCs w:val="22"/>
        </w:rPr>
        <w:t>-</w:t>
      </w:r>
      <w:r w:rsidRPr="00022387">
        <w:rPr>
          <w:rFonts w:asciiTheme="majorHAnsi" w:hAnsiTheme="majorHAnsi" w:cs="Garamond"/>
          <w:sz w:val="22"/>
          <w:szCs w:val="22"/>
        </w:rPr>
        <w:t xml:space="preserve">curriculum, from making simple connections among ideas and experiences to synthesizing and transferring learning to new, complex situations within and beyond the campus. </w:t>
      </w:r>
    </w:p>
    <w:p w14:paraId="5049EB7D" w14:textId="77777777" w:rsidR="00194572" w:rsidRDefault="00194572" w:rsidP="00194572">
      <w:pPr>
        <w:pStyle w:val="CM28"/>
        <w:spacing w:after="120" w:line="276" w:lineRule="auto"/>
        <w:jc w:val="both"/>
        <w:rPr>
          <w:rFonts w:asciiTheme="majorHAnsi" w:hAnsiTheme="majorHAnsi"/>
          <w:i/>
          <w:iCs/>
          <w:sz w:val="22"/>
          <w:szCs w:val="22"/>
        </w:rPr>
      </w:pPr>
      <w:r w:rsidRPr="00022387">
        <w:rPr>
          <w:rFonts w:asciiTheme="majorHAnsi" w:hAnsiTheme="majorHAnsi"/>
          <w:i/>
          <w:iCs/>
          <w:sz w:val="22"/>
          <w:szCs w:val="22"/>
        </w:rPr>
        <w:t>Evaluators are encouraged to assign a zero to any work sample or collection of work that does not meet benchmark (cell one) level performance.</w:t>
      </w:r>
    </w:p>
    <w:p w14:paraId="3EDC03C2" w14:textId="77777777" w:rsidR="00DF5E15" w:rsidRPr="00DF5E15" w:rsidRDefault="00DF5E15" w:rsidP="00DF5E15">
      <w:pPr>
        <w:pStyle w:val="Default"/>
      </w:pPr>
    </w:p>
    <w:tbl>
      <w:tblPr>
        <w:tblW w:w="0" w:type="auto"/>
        <w:tblBorders>
          <w:top w:val="nil"/>
          <w:left w:val="nil"/>
          <w:bottom w:val="nil"/>
          <w:right w:val="nil"/>
        </w:tblBorders>
        <w:tblLayout w:type="fixed"/>
        <w:tblLook w:val="0000" w:firstRow="0" w:lastRow="0" w:firstColumn="0" w:lastColumn="0" w:noHBand="0" w:noVBand="0"/>
        <w:tblDescription w:val="Integrative Learning VALUE Rubric"/>
      </w:tblPr>
      <w:tblGrid>
        <w:gridCol w:w="2998"/>
        <w:gridCol w:w="3104"/>
        <w:gridCol w:w="3105"/>
        <w:gridCol w:w="3105"/>
        <w:gridCol w:w="3105"/>
      </w:tblGrid>
      <w:tr w:rsidR="00194572" w:rsidRPr="00194572" w14:paraId="70C9428A" w14:textId="77777777" w:rsidTr="00FA0A8B">
        <w:tblPrEx>
          <w:tblCellMar>
            <w:top w:w="0" w:type="dxa"/>
            <w:bottom w:w="0" w:type="dxa"/>
          </w:tblCellMar>
        </w:tblPrEx>
        <w:trPr>
          <w:trHeight w:val="308"/>
          <w:tblHeader/>
        </w:trPr>
        <w:tc>
          <w:tcPr>
            <w:tcW w:w="2998" w:type="dxa"/>
            <w:tcBorders>
              <w:top w:val="single" w:sz="4" w:space="0" w:color="000000"/>
              <w:left w:val="single" w:sz="2" w:space="0" w:color="000000"/>
              <w:bottom w:val="single" w:sz="2" w:space="0" w:color="000000"/>
              <w:right w:val="single" w:sz="2" w:space="0" w:color="000000"/>
            </w:tcBorders>
          </w:tcPr>
          <w:p w14:paraId="19891227" w14:textId="77777777" w:rsidR="00194572" w:rsidRPr="00194572" w:rsidRDefault="00194572" w:rsidP="00194572">
            <w:pPr>
              <w:pStyle w:val="Default"/>
              <w:spacing w:line="276" w:lineRule="auto"/>
              <w:rPr>
                <w:rFonts w:asciiTheme="majorHAnsi" w:hAnsiTheme="majorHAnsi" w:cs="Times New Roman"/>
                <w:b/>
                <w:color w:val="auto"/>
                <w:sz w:val="22"/>
                <w:szCs w:val="22"/>
              </w:rPr>
            </w:pPr>
            <w:bookmarkStart w:id="0" w:name="Table_1_Integrative_Learning_rubric"/>
            <w:r w:rsidRPr="00194572">
              <w:rPr>
                <w:rFonts w:asciiTheme="majorHAnsi" w:hAnsiTheme="majorHAnsi" w:cs="Times New Roman"/>
                <w:b/>
                <w:color w:val="auto"/>
                <w:sz w:val="22"/>
                <w:szCs w:val="22"/>
              </w:rPr>
              <w:t>Criteria</w:t>
            </w:r>
            <w:bookmarkEnd w:id="0"/>
          </w:p>
        </w:tc>
        <w:tc>
          <w:tcPr>
            <w:tcW w:w="3104" w:type="dxa"/>
            <w:tcBorders>
              <w:top w:val="single" w:sz="4" w:space="0" w:color="000000"/>
              <w:left w:val="single" w:sz="2" w:space="0" w:color="000000"/>
              <w:bottom w:val="single" w:sz="2" w:space="0" w:color="000000"/>
              <w:right w:val="single" w:sz="2" w:space="0" w:color="000000"/>
            </w:tcBorders>
            <w:vAlign w:val="center"/>
          </w:tcPr>
          <w:p w14:paraId="3A8A327E" w14:textId="77777777" w:rsidR="00194572" w:rsidRPr="00194572" w:rsidRDefault="00194572" w:rsidP="00194572">
            <w:pPr>
              <w:pStyle w:val="Default"/>
              <w:spacing w:line="276" w:lineRule="auto"/>
              <w:rPr>
                <w:rFonts w:asciiTheme="majorHAnsi" w:hAnsiTheme="majorHAnsi"/>
                <w:b/>
                <w:sz w:val="22"/>
                <w:szCs w:val="22"/>
              </w:rPr>
            </w:pPr>
            <w:r w:rsidRPr="00194572">
              <w:rPr>
                <w:rFonts w:asciiTheme="majorHAnsi" w:hAnsiTheme="majorHAnsi"/>
                <w:b/>
                <w:bCs/>
                <w:sz w:val="22"/>
                <w:szCs w:val="22"/>
              </w:rPr>
              <w:t>Capstone 4</w:t>
            </w:r>
          </w:p>
        </w:tc>
        <w:tc>
          <w:tcPr>
            <w:tcW w:w="3105" w:type="dxa"/>
            <w:tcBorders>
              <w:top w:val="single" w:sz="4" w:space="0" w:color="000000"/>
              <w:left w:val="single" w:sz="2" w:space="0" w:color="000000"/>
              <w:bottom w:val="single" w:sz="2" w:space="0" w:color="000000"/>
              <w:right w:val="single" w:sz="2" w:space="0" w:color="000000"/>
            </w:tcBorders>
            <w:vAlign w:val="center"/>
          </w:tcPr>
          <w:p w14:paraId="62BFDAD2" w14:textId="77777777" w:rsidR="00194572" w:rsidRPr="00194572" w:rsidRDefault="00194572" w:rsidP="00194572">
            <w:pPr>
              <w:pStyle w:val="Default"/>
              <w:spacing w:line="276" w:lineRule="auto"/>
              <w:rPr>
                <w:rFonts w:asciiTheme="majorHAnsi" w:hAnsiTheme="majorHAnsi"/>
                <w:b/>
                <w:sz w:val="22"/>
                <w:szCs w:val="22"/>
              </w:rPr>
            </w:pPr>
            <w:r w:rsidRPr="00194572">
              <w:rPr>
                <w:rFonts w:asciiTheme="majorHAnsi" w:hAnsiTheme="majorHAnsi"/>
                <w:b/>
                <w:bCs/>
                <w:sz w:val="22"/>
                <w:szCs w:val="22"/>
              </w:rPr>
              <w:t>Milestone 3</w:t>
            </w:r>
          </w:p>
        </w:tc>
        <w:tc>
          <w:tcPr>
            <w:tcW w:w="3105" w:type="dxa"/>
            <w:tcBorders>
              <w:top w:val="single" w:sz="4" w:space="0" w:color="000000"/>
              <w:left w:val="single" w:sz="2" w:space="0" w:color="000000"/>
              <w:bottom w:val="single" w:sz="2" w:space="0" w:color="000000"/>
              <w:right w:val="single" w:sz="2" w:space="0" w:color="000000"/>
            </w:tcBorders>
            <w:vAlign w:val="center"/>
          </w:tcPr>
          <w:p w14:paraId="753A9C54" w14:textId="77777777" w:rsidR="00194572" w:rsidRPr="00194572" w:rsidRDefault="00194572" w:rsidP="00194572">
            <w:pPr>
              <w:pStyle w:val="Default"/>
              <w:spacing w:line="276" w:lineRule="auto"/>
              <w:rPr>
                <w:rFonts w:asciiTheme="majorHAnsi" w:hAnsiTheme="majorHAnsi"/>
                <w:b/>
                <w:sz w:val="22"/>
                <w:szCs w:val="22"/>
              </w:rPr>
            </w:pPr>
            <w:r w:rsidRPr="00194572">
              <w:rPr>
                <w:rFonts w:asciiTheme="majorHAnsi" w:hAnsiTheme="majorHAnsi"/>
                <w:b/>
                <w:sz w:val="22"/>
                <w:szCs w:val="22"/>
              </w:rPr>
              <w:t>Milestone 2</w:t>
            </w:r>
          </w:p>
        </w:tc>
        <w:tc>
          <w:tcPr>
            <w:tcW w:w="3105" w:type="dxa"/>
            <w:tcBorders>
              <w:top w:val="single" w:sz="4" w:space="0" w:color="000000"/>
              <w:left w:val="single" w:sz="2" w:space="0" w:color="000000"/>
              <w:bottom w:val="single" w:sz="2" w:space="0" w:color="000000"/>
              <w:right w:val="single" w:sz="2" w:space="0" w:color="000000"/>
            </w:tcBorders>
            <w:vAlign w:val="center"/>
          </w:tcPr>
          <w:p w14:paraId="648C2DE3" w14:textId="77777777" w:rsidR="00194572" w:rsidRPr="00194572" w:rsidRDefault="00194572" w:rsidP="00194572">
            <w:pPr>
              <w:pStyle w:val="Default"/>
              <w:spacing w:line="276" w:lineRule="auto"/>
              <w:rPr>
                <w:rFonts w:asciiTheme="majorHAnsi" w:hAnsiTheme="majorHAnsi"/>
                <w:b/>
                <w:bCs/>
                <w:sz w:val="22"/>
                <w:szCs w:val="22"/>
              </w:rPr>
            </w:pPr>
            <w:r w:rsidRPr="00194572">
              <w:rPr>
                <w:rFonts w:asciiTheme="majorHAnsi" w:hAnsiTheme="majorHAnsi"/>
                <w:b/>
                <w:bCs/>
                <w:sz w:val="22"/>
                <w:szCs w:val="22"/>
              </w:rPr>
              <w:t>Benchmark 1</w:t>
            </w:r>
          </w:p>
        </w:tc>
      </w:tr>
      <w:tr w:rsidR="00194572" w:rsidRPr="00194572" w14:paraId="5955D282" w14:textId="77777777" w:rsidTr="008D0373">
        <w:tblPrEx>
          <w:tblCellMar>
            <w:top w:w="0" w:type="dxa"/>
            <w:bottom w:w="0" w:type="dxa"/>
          </w:tblCellMar>
        </w:tblPrEx>
        <w:trPr>
          <w:trHeight w:val="921"/>
        </w:trPr>
        <w:tc>
          <w:tcPr>
            <w:tcW w:w="2998" w:type="dxa"/>
            <w:tcBorders>
              <w:top w:val="single" w:sz="2" w:space="0" w:color="000000"/>
              <w:left w:val="single" w:sz="2" w:space="0" w:color="000000"/>
              <w:bottom w:val="single" w:sz="2" w:space="0" w:color="000000"/>
              <w:right w:val="single" w:sz="2" w:space="0" w:color="000000"/>
            </w:tcBorders>
          </w:tcPr>
          <w:p w14:paraId="740AA99B" w14:textId="77777777" w:rsidR="00194572" w:rsidRPr="00194572" w:rsidRDefault="00194572" w:rsidP="00194572">
            <w:pPr>
              <w:pStyle w:val="Default"/>
              <w:spacing w:line="276" w:lineRule="auto"/>
              <w:rPr>
                <w:rFonts w:asciiTheme="majorHAnsi" w:hAnsiTheme="majorHAnsi"/>
                <w:b/>
                <w:bCs/>
                <w:sz w:val="22"/>
                <w:szCs w:val="22"/>
              </w:rPr>
            </w:pPr>
            <w:r w:rsidRPr="00194572">
              <w:rPr>
                <w:rFonts w:asciiTheme="majorHAnsi" w:hAnsiTheme="majorHAnsi"/>
                <w:b/>
                <w:bCs/>
                <w:sz w:val="22"/>
                <w:szCs w:val="22"/>
              </w:rPr>
              <w:t>Connections to Experience</w:t>
            </w:r>
          </w:p>
          <w:p w14:paraId="58199AB7"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i/>
                <w:iCs/>
                <w:sz w:val="22"/>
                <w:szCs w:val="22"/>
              </w:rPr>
              <w:t xml:space="preserve">Connects relevant experience and academic knowledge </w:t>
            </w:r>
          </w:p>
        </w:tc>
        <w:tc>
          <w:tcPr>
            <w:tcW w:w="3104" w:type="dxa"/>
            <w:tcBorders>
              <w:top w:val="single" w:sz="2" w:space="0" w:color="000000"/>
              <w:left w:val="single" w:sz="2" w:space="0" w:color="000000"/>
              <w:bottom w:val="single" w:sz="2" w:space="0" w:color="000000"/>
              <w:right w:val="single" w:sz="2" w:space="0" w:color="000000"/>
            </w:tcBorders>
          </w:tcPr>
          <w:p w14:paraId="69513E9C"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Meaningfully </w:t>
            </w:r>
            <w:r w:rsidRPr="00194572">
              <w:rPr>
                <w:rFonts w:asciiTheme="majorHAnsi" w:hAnsiTheme="majorHAnsi"/>
                <w:b/>
                <w:bCs/>
                <w:sz w:val="22"/>
                <w:szCs w:val="22"/>
              </w:rPr>
              <w:t xml:space="preserve">synthesizes </w:t>
            </w:r>
            <w:r w:rsidRPr="00194572">
              <w:rPr>
                <w:rFonts w:asciiTheme="majorHAnsi" w:hAnsiTheme="majorHAnsi"/>
                <w:sz w:val="22"/>
                <w:szCs w:val="22"/>
              </w:rPr>
              <w:t xml:space="preserve">connections among experiences outside of the formal classroom (including life experiences and academic experiences such as internships and travel abroad) to </w:t>
            </w:r>
            <w:r w:rsidRPr="00194572">
              <w:rPr>
                <w:rFonts w:asciiTheme="majorHAnsi" w:hAnsiTheme="majorHAnsi"/>
                <w:b/>
                <w:bCs/>
                <w:sz w:val="22"/>
                <w:szCs w:val="22"/>
              </w:rPr>
              <w:t xml:space="preserve">deepen understanding </w:t>
            </w:r>
            <w:r w:rsidRPr="00194572">
              <w:rPr>
                <w:rFonts w:asciiTheme="majorHAnsi" w:hAnsiTheme="majorHAnsi"/>
                <w:sz w:val="22"/>
                <w:szCs w:val="22"/>
              </w:rPr>
              <w:t xml:space="preserve">of fields of study and to broaden own points of view. </w:t>
            </w:r>
          </w:p>
        </w:tc>
        <w:tc>
          <w:tcPr>
            <w:tcW w:w="3105" w:type="dxa"/>
            <w:tcBorders>
              <w:top w:val="single" w:sz="2" w:space="0" w:color="000000"/>
              <w:left w:val="single" w:sz="2" w:space="0" w:color="000000"/>
              <w:bottom w:val="single" w:sz="2" w:space="0" w:color="000000"/>
              <w:right w:val="single" w:sz="4" w:space="0" w:color="000000"/>
            </w:tcBorders>
          </w:tcPr>
          <w:p w14:paraId="6CDBE898"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Effectively </w:t>
            </w:r>
            <w:r w:rsidRPr="00194572">
              <w:rPr>
                <w:rFonts w:asciiTheme="majorHAnsi" w:hAnsiTheme="majorHAnsi"/>
                <w:b/>
                <w:bCs/>
                <w:sz w:val="22"/>
                <w:szCs w:val="22"/>
              </w:rPr>
              <w:t xml:space="preserve">selects and develops </w:t>
            </w:r>
            <w:r w:rsidRPr="00194572">
              <w:rPr>
                <w:rFonts w:asciiTheme="majorHAnsi" w:hAnsiTheme="majorHAnsi"/>
                <w:sz w:val="22"/>
                <w:szCs w:val="22"/>
              </w:rPr>
              <w:t xml:space="preserve">examples of life experiences, drawn from a variety of contexts (e.g., family life, artistic participation, civic involvement, work experience), to </w:t>
            </w:r>
            <w:r w:rsidRPr="00194572">
              <w:rPr>
                <w:rFonts w:asciiTheme="majorHAnsi" w:hAnsiTheme="majorHAnsi"/>
                <w:b/>
                <w:bCs/>
                <w:sz w:val="22"/>
                <w:szCs w:val="22"/>
              </w:rPr>
              <w:t xml:space="preserve">illuminate </w:t>
            </w:r>
            <w:r w:rsidRPr="00194572">
              <w:rPr>
                <w:rFonts w:asciiTheme="majorHAnsi" w:hAnsiTheme="majorHAnsi"/>
                <w:sz w:val="22"/>
                <w:szCs w:val="22"/>
              </w:rPr>
              <w:t xml:space="preserve">concepts/theories/frameworks of fields of study. </w:t>
            </w:r>
          </w:p>
        </w:tc>
        <w:tc>
          <w:tcPr>
            <w:tcW w:w="3105" w:type="dxa"/>
            <w:tcBorders>
              <w:top w:val="single" w:sz="2" w:space="0" w:color="000000"/>
              <w:left w:val="single" w:sz="4" w:space="0" w:color="000000"/>
              <w:bottom w:val="single" w:sz="2" w:space="0" w:color="000000"/>
              <w:right w:val="single" w:sz="2" w:space="0" w:color="000000"/>
            </w:tcBorders>
          </w:tcPr>
          <w:p w14:paraId="4B770E12"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b/>
                <w:bCs/>
                <w:sz w:val="22"/>
                <w:szCs w:val="22"/>
              </w:rPr>
              <w:t xml:space="preserve">Compares </w:t>
            </w:r>
            <w:r w:rsidRPr="00194572">
              <w:rPr>
                <w:rFonts w:asciiTheme="majorHAnsi" w:hAnsiTheme="majorHAnsi"/>
                <w:sz w:val="22"/>
                <w:szCs w:val="22"/>
              </w:rPr>
              <w:t xml:space="preserve">life experiences and academic knowledge to infer differences, as well as similarities, and </w:t>
            </w:r>
            <w:r w:rsidRPr="00194572">
              <w:rPr>
                <w:rFonts w:asciiTheme="majorHAnsi" w:hAnsiTheme="majorHAnsi"/>
                <w:b/>
                <w:bCs/>
                <w:sz w:val="22"/>
                <w:szCs w:val="22"/>
              </w:rPr>
              <w:t xml:space="preserve">acknowledge perspectives </w:t>
            </w:r>
            <w:r w:rsidRPr="00194572">
              <w:rPr>
                <w:rFonts w:asciiTheme="majorHAnsi" w:hAnsiTheme="majorHAnsi"/>
                <w:sz w:val="22"/>
                <w:szCs w:val="22"/>
              </w:rPr>
              <w:t xml:space="preserve">other than own. </w:t>
            </w:r>
          </w:p>
        </w:tc>
        <w:tc>
          <w:tcPr>
            <w:tcW w:w="3105" w:type="dxa"/>
            <w:tcBorders>
              <w:top w:val="single" w:sz="2" w:space="0" w:color="000000"/>
              <w:left w:val="single" w:sz="2" w:space="0" w:color="000000"/>
              <w:bottom w:val="single" w:sz="2" w:space="0" w:color="000000"/>
              <w:right w:val="single" w:sz="2" w:space="0" w:color="000000"/>
            </w:tcBorders>
          </w:tcPr>
          <w:p w14:paraId="3163B64F"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b/>
                <w:bCs/>
                <w:sz w:val="22"/>
                <w:szCs w:val="22"/>
              </w:rPr>
              <w:t xml:space="preserve">Identifies </w:t>
            </w:r>
            <w:r w:rsidRPr="00194572">
              <w:rPr>
                <w:rFonts w:asciiTheme="majorHAnsi" w:hAnsiTheme="majorHAnsi"/>
                <w:sz w:val="22"/>
                <w:szCs w:val="22"/>
              </w:rPr>
              <w:t xml:space="preserve">connections between life experiences and those academic texts and ideas </w:t>
            </w:r>
            <w:r w:rsidRPr="00194572">
              <w:rPr>
                <w:rFonts w:asciiTheme="majorHAnsi" w:hAnsiTheme="majorHAnsi"/>
                <w:b/>
                <w:bCs/>
                <w:sz w:val="22"/>
                <w:szCs w:val="22"/>
              </w:rPr>
              <w:t xml:space="preserve">perceived as similar and related </w:t>
            </w:r>
            <w:r w:rsidRPr="00194572">
              <w:rPr>
                <w:rFonts w:asciiTheme="majorHAnsi" w:hAnsiTheme="majorHAnsi"/>
                <w:sz w:val="22"/>
                <w:szCs w:val="22"/>
              </w:rPr>
              <w:t xml:space="preserve">to own interests. </w:t>
            </w:r>
          </w:p>
        </w:tc>
      </w:tr>
      <w:tr w:rsidR="00194572" w:rsidRPr="00194572" w14:paraId="16FC7E04" w14:textId="77777777" w:rsidTr="008D0373">
        <w:tblPrEx>
          <w:tblCellMar>
            <w:top w:w="0" w:type="dxa"/>
            <w:bottom w:w="0" w:type="dxa"/>
          </w:tblCellMar>
        </w:tblPrEx>
        <w:trPr>
          <w:trHeight w:val="673"/>
        </w:trPr>
        <w:tc>
          <w:tcPr>
            <w:tcW w:w="2998" w:type="dxa"/>
            <w:tcBorders>
              <w:top w:val="single" w:sz="2" w:space="0" w:color="000000"/>
              <w:left w:val="single" w:sz="2" w:space="0" w:color="000000"/>
              <w:bottom w:val="single" w:sz="2" w:space="0" w:color="000000"/>
              <w:right w:val="single" w:sz="2" w:space="0" w:color="000000"/>
            </w:tcBorders>
          </w:tcPr>
          <w:p w14:paraId="4C79AEF3" w14:textId="77777777" w:rsidR="00194572" w:rsidRPr="00194572" w:rsidRDefault="00194572" w:rsidP="00194572">
            <w:pPr>
              <w:pStyle w:val="Default"/>
              <w:spacing w:line="276" w:lineRule="auto"/>
              <w:rPr>
                <w:rFonts w:asciiTheme="majorHAnsi" w:hAnsiTheme="majorHAnsi"/>
                <w:b/>
                <w:bCs/>
                <w:sz w:val="22"/>
                <w:szCs w:val="22"/>
              </w:rPr>
            </w:pPr>
            <w:r w:rsidRPr="00194572">
              <w:rPr>
                <w:rFonts w:asciiTheme="majorHAnsi" w:hAnsiTheme="majorHAnsi"/>
                <w:b/>
                <w:bCs/>
                <w:sz w:val="22"/>
                <w:szCs w:val="22"/>
              </w:rPr>
              <w:t>Connections to Discipline</w:t>
            </w:r>
          </w:p>
          <w:p w14:paraId="7339856E"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i/>
                <w:iCs/>
                <w:sz w:val="22"/>
                <w:szCs w:val="22"/>
              </w:rPr>
              <w:t xml:space="preserve">Sees (makes) connections across disciplines, perspectives </w:t>
            </w:r>
          </w:p>
        </w:tc>
        <w:tc>
          <w:tcPr>
            <w:tcW w:w="3104" w:type="dxa"/>
            <w:tcBorders>
              <w:top w:val="single" w:sz="2" w:space="0" w:color="000000"/>
              <w:left w:val="single" w:sz="2" w:space="0" w:color="000000"/>
              <w:bottom w:val="single" w:sz="2" w:space="0" w:color="000000"/>
              <w:right w:val="single" w:sz="2" w:space="0" w:color="000000"/>
            </w:tcBorders>
          </w:tcPr>
          <w:p w14:paraId="00C0AF0C"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Independently creates wholes out of multiple parts (synthesizes) or draws conclusions by combining examples, facts, or theories from more than one field of study or perspective. </w:t>
            </w:r>
          </w:p>
        </w:tc>
        <w:tc>
          <w:tcPr>
            <w:tcW w:w="3105" w:type="dxa"/>
            <w:tcBorders>
              <w:top w:val="single" w:sz="2" w:space="0" w:color="000000"/>
              <w:left w:val="single" w:sz="2" w:space="0" w:color="000000"/>
              <w:bottom w:val="single" w:sz="2" w:space="0" w:color="000000"/>
              <w:right w:val="single" w:sz="4" w:space="0" w:color="000000"/>
            </w:tcBorders>
          </w:tcPr>
          <w:p w14:paraId="7B0809FE"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Independently connects examples, facts, or theories from more than one field of study or perspective. </w:t>
            </w:r>
          </w:p>
        </w:tc>
        <w:tc>
          <w:tcPr>
            <w:tcW w:w="3105" w:type="dxa"/>
            <w:tcBorders>
              <w:top w:val="single" w:sz="2" w:space="0" w:color="000000"/>
              <w:left w:val="single" w:sz="4" w:space="0" w:color="000000"/>
              <w:bottom w:val="single" w:sz="2" w:space="0" w:color="000000"/>
              <w:right w:val="single" w:sz="2" w:space="0" w:color="000000"/>
            </w:tcBorders>
          </w:tcPr>
          <w:p w14:paraId="7E743CAC"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When prompted, connects examples, facts, or theories from more than one field of stu</w:t>
            </w:r>
            <w:bookmarkStart w:id="1" w:name="_GoBack"/>
            <w:bookmarkEnd w:id="1"/>
            <w:r w:rsidRPr="00194572">
              <w:rPr>
                <w:rFonts w:asciiTheme="majorHAnsi" w:hAnsiTheme="majorHAnsi"/>
                <w:sz w:val="22"/>
                <w:szCs w:val="22"/>
              </w:rPr>
              <w:t xml:space="preserve">dy or perspective. </w:t>
            </w:r>
          </w:p>
        </w:tc>
        <w:tc>
          <w:tcPr>
            <w:tcW w:w="3105" w:type="dxa"/>
            <w:tcBorders>
              <w:top w:val="single" w:sz="2" w:space="0" w:color="000000"/>
              <w:left w:val="single" w:sz="2" w:space="0" w:color="000000"/>
              <w:bottom w:val="single" w:sz="2" w:space="0" w:color="000000"/>
              <w:right w:val="single" w:sz="2" w:space="0" w:color="000000"/>
            </w:tcBorders>
          </w:tcPr>
          <w:p w14:paraId="4C489156"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When prompted, presents examples, facts, or theories from more than one field of study or perspective. </w:t>
            </w:r>
          </w:p>
        </w:tc>
      </w:tr>
      <w:tr w:rsidR="00194572" w:rsidRPr="00194572" w14:paraId="0DCBE10C" w14:textId="77777777" w:rsidTr="008D0373">
        <w:tblPrEx>
          <w:tblCellMar>
            <w:top w:w="0" w:type="dxa"/>
            <w:bottom w:w="0" w:type="dxa"/>
          </w:tblCellMar>
        </w:tblPrEx>
        <w:trPr>
          <w:trHeight w:val="645"/>
        </w:trPr>
        <w:tc>
          <w:tcPr>
            <w:tcW w:w="2998" w:type="dxa"/>
            <w:tcBorders>
              <w:top w:val="single" w:sz="2" w:space="0" w:color="000000"/>
              <w:left w:val="single" w:sz="2" w:space="0" w:color="000000"/>
              <w:bottom w:val="single" w:sz="2" w:space="0" w:color="000000"/>
              <w:right w:val="single" w:sz="2" w:space="0" w:color="000000"/>
            </w:tcBorders>
          </w:tcPr>
          <w:p w14:paraId="6F7B16E6" w14:textId="77777777" w:rsidR="00194572" w:rsidRPr="00194572" w:rsidRDefault="00194572" w:rsidP="00194572">
            <w:pPr>
              <w:pStyle w:val="Default"/>
              <w:spacing w:line="276" w:lineRule="auto"/>
              <w:rPr>
                <w:rFonts w:asciiTheme="majorHAnsi" w:hAnsiTheme="majorHAnsi"/>
                <w:b/>
                <w:bCs/>
                <w:sz w:val="22"/>
                <w:szCs w:val="22"/>
              </w:rPr>
            </w:pPr>
            <w:r w:rsidRPr="00194572">
              <w:rPr>
                <w:rFonts w:asciiTheme="majorHAnsi" w:hAnsiTheme="majorHAnsi"/>
                <w:b/>
                <w:bCs/>
                <w:sz w:val="22"/>
                <w:szCs w:val="22"/>
              </w:rPr>
              <w:t xml:space="preserve">Transfer </w:t>
            </w:r>
          </w:p>
          <w:p w14:paraId="602A5F47"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i/>
                <w:iCs/>
                <w:sz w:val="22"/>
                <w:szCs w:val="22"/>
              </w:rPr>
              <w:t xml:space="preserve">Adapts and applies skills, abilities, theories, or methodologies gained in one situation to new situations </w:t>
            </w:r>
          </w:p>
        </w:tc>
        <w:tc>
          <w:tcPr>
            <w:tcW w:w="3104" w:type="dxa"/>
            <w:tcBorders>
              <w:top w:val="single" w:sz="2" w:space="0" w:color="000000"/>
              <w:left w:val="single" w:sz="2" w:space="0" w:color="000000"/>
              <w:bottom w:val="single" w:sz="2" w:space="0" w:color="000000"/>
              <w:right w:val="single" w:sz="2" w:space="0" w:color="000000"/>
            </w:tcBorders>
          </w:tcPr>
          <w:p w14:paraId="54960C05"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Adapts and applies, independently, skills, abilities, theories, or methodologies gained in one situation to new situations </w:t>
            </w:r>
            <w:r w:rsidRPr="00194572">
              <w:rPr>
                <w:rFonts w:asciiTheme="majorHAnsi" w:hAnsiTheme="majorHAnsi"/>
                <w:b/>
                <w:bCs/>
                <w:sz w:val="22"/>
                <w:szCs w:val="22"/>
              </w:rPr>
              <w:t xml:space="preserve">to solve difficult problems or explore complex issues in original ways. </w:t>
            </w:r>
          </w:p>
        </w:tc>
        <w:tc>
          <w:tcPr>
            <w:tcW w:w="3105" w:type="dxa"/>
            <w:tcBorders>
              <w:top w:val="single" w:sz="2" w:space="0" w:color="000000"/>
              <w:left w:val="single" w:sz="2" w:space="0" w:color="000000"/>
              <w:bottom w:val="single" w:sz="2" w:space="0" w:color="000000"/>
              <w:right w:val="single" w:sz="4" w:space="0" w:color="000000"/>
            </w:tcBorders>
          </w:tcPr>
          <w:p w14:paraId="1B5804DE"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Adapts and applies skills, abilities, theories, or methodologies gained in one situation to new situations </w:t>
            </w:r>
            <w:r w:rsidRPr="00194572">
              <w:rPr>
                <w:rFonts w:asciiTheme="majorHAnsi" w:hAnsiTheme="majorHAnsi"/>
                <w:b/>
                <w:bCs/>
                <w:sz w:val="22"/>
                <w:szCs w:val="22"/>
              </w:rPr>
              <w:t xml:space="preserve">to solve problems or explore issues. </w:t>
            </w:r>
          </w:p>
        </w:tc>
        <w:tc>
          <w:tcPr>
            <w:tcW w:w="3105" w:type="dxa"/>
            <w:tcBorders>
              <w:top w:val="single" w:sz="2" w:space="0" w:color="000000"/>
              <w:left w:val="single" w:sz="4" w:space="0" w:color="000000"/>
              <w:bottom w:val="single" w:sz="2" w:space="0" w:color="000000"/>
              <w:right w:val="single" w:sz="2" w:space="0" w:color="000000"/>
            </w:tcBorders>
          </w:tcPr>
          <w:p w14:paraId="1ABF8574"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Uses skills, abilities, theories, or methodologies gained in one situation in a new situation </w:t>
            </w:r>
            <w:r w:rsidRPr="00194572">
              <w:rPr>
                <w:rFonts w:asciiTheme="majorHAnsi" w:hAnsiTheme="majorHAnsi"/>
                <w:b/>
                <w:bCs/>
                <w:sz w:val="22"/>
                <w:szCs w:val="22"/>
              </w:rPr>
              <w:t xml:space="preserve">to contribute to understanding of problems or issues. </w:t>
            </w:r>
          </w:p>
        </w:tc>
        <w:tc>
          <w:tcPr>
            <w:tcW w:w="3105" w:type="dxa"/>
            <w:tcBorders>
              <w:top w:val="single" w:sz="2" w:space="0" w:color="000000"/>
              <w:left w:val="single" w:sz="2" w:space="0" w:color="000000"/>
              <w:bottom w:val="single" w:sz="2" w:space="0" w:color="000000"/>
              <w:right w:val="single" w:sz="2" w:space="0" w:color="000000"/>
            </w:tcBorders>
          </w:tcPr>
          <w:p w14:paraId="406F6D96"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Uses, in a basic way, skills, abilities, theories, or methodologies gained in one situation </w:t>
            </w:r>
            <w:r w:rsidRPr="00194572">
              <w:rPr>
                <w:rFonts w:asciiTheme="majorHAnsi" w:hAnsiTheme="majorHAnsi"/>
                <w:b/>
                <w:bCs/>
                <w:sz w:val="22"/>
                <w:szCs w:val="22"/>
              </w:rPr>
              <w:t xml:space="preserve">in a new situation. </w:t>
            </w:r>
          </w:p>
        </w:tc>
      </w:tr>
      <w:tr w:rsidR="00194572" w:rsidRPr="00022387" w14:paraId="65702C5D" w14:textId="77777777" w:rsidTr="008D0373">
        <w:tblPrEx>
          <w:tblCellMar>
            <w:top w:w="0" w:type="dxa"/>
            <w:bottom w:w="0" w:type="dxa"/>
          </w:tblCellMar>
        </w:tblPrEx>
        <w:trPr>
          <w:trHeight w:val="797"/>
        </w:trPr>
        <w:tc>
          <w:tcPr>
            <w:tcW w:w="2998" w:type="dxa"/>
            <w:tcBorders>
              <w:top w:val="single" w:sz="2" w:space="0" w:color="000000"/>
              <w:left w:val="single" w:sz="2" w:space="0" w:color="000000"/>
              <w:bottom w:val="single" w:sz="2" w:space="0" w:color="000000"/>
              <w:right w:val="single" w:sz="2" w:space="0" w:color="000000"/>
            </w:tcBorders>
          </w:tcPr>
          <w:p w14:paraId="61853CC2"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b/>
                <w:bCs/>
                <w:sz w:val="22"/>
                <w:szCs w:val="22"/>
              </w:rPr>
              <w:lastRenderedPageBreak/>
              <w:t xml:space="preserve">Integrated Communication </w:t>
            </w:r>
          </w:p>
        </w:tc>
        <w:tc>
          <w:tcPr>
            <w:tcW w:w="3104" w:type="dxa"/>
            <w:tcBorders>
              <w:top w:val="single" w:sz="2" w:space="0" w:color="000000"/>
              <w:left w:val="single" w:sz="2" w:space="0" w:color="000000"/>
              <w:bottom w:val="single" w:sz="2" w:space="0" w:color="000000"/>
              <w:right w:val="single" w:sz="2" w:space="0" w:color="000000"/>
            </w:tcBorders>
          </w:tcPr>
          <w:p w14:paraId="4F78CF8B"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Fulfills the assignment(s) by choosing a format, language, or graph (or other visual representation) </w:t>
            </w:r>
            <w:r w:rsidRPr="00194572">
              <w:rPr>
                <w:rFonts w:asciiTheme="majorHAnsi" w:hAnsiTheme="majorHAnsi"/>
                <w:b/>
                <w:bCs/>
                <w:sz w:val="22"/>
                <w:szCs w:val="22"/>
              </w:rPr>
              <w:t>in ways that enhance meaning</w:t>
            </w:r>
            <w:r w:rsidRPr="00194572">
              <w:rPr>
                <w:rFonts w:asciiTheme="majorHAnsi" w:hAnsiTheme="majorHAnsi"/>
                <w:sz w:val="22"/>
                <w:szCs w:val="22"/>
              </w:rPr>
              <w:t xml:space="preserve">, making clear the interdependence of language and meaning, thought, and expression. </w:t>
            </w:r>
          </w:p>
        </w:tc>
        <w:tc>
          <w:tcPr>
            <w:tcW w:w="3105" w:type="dxa"/>
            <w:tcBorders>
              <w:top w:val="single" w:sz="2" w:space="0" w:color="000000"/>
              <w:left w:val="single" w:sz="2" w:space="0" w:color="000000"/>
              <w:bottom w:val="single" w:sz="2" w:space="0" w:color="000000"/>
              <w:right w:val="single" w:sz="4" w:space="0" w:color="000000"/>
            </w:tcBorders>
          </w:tcPr>
          <w:p w14:paraId="68BEE501"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Fulfills the assignment(s) by choosing a format, language, or graph (or other visual representation) </w:t>
            </w:r>
            <w:r w:rsidRPr="00194572">
              <w:rPr>
                <w:rFonts w:asciiTheme="majorHAnsi" w:hAnsiTheme="majorHAnsi"/>
                <w:b/>
                <w:bCs/>
                <w:sz w:val="22"/>
                <w:szCs w:val="22"/>
              </w:rPr>
              <w:t>to explicitly connect content and form</w:t>
            </w:r>
            <w:r w:rsidRPr="00194572">
              <w:rPr>
                <w:rFonts w:asciiTheme="majorHAnsi" w:hAnsiTheme="majorHAnsi"/>
                <w:sz w:val="22"/>
                <w:szCs w:val="22"/>
              </w:rPr>
              <w:t xml:space="preserve">, demonstrating awareness of purpose and audience. </w:t>
            </w:r>
          </w:p>
        </w:tc>
        <w:tc>
          <w:tcPr>
            <w:tcW w:w="3105" w:type="dxa"/>
            <w:tcBorders>
              <w:top w:val="single" w:sz="2" w:space="0" w:color="000000"/>
              <w:left w:val="single" w:sz="4" w:space="0" w:color="000000"/>
              <w:bottom w:val="single" w:sz="2" w:space="0" w:color="000000"/>
              <w:right w:val="single" w:sz="2" w:space="0" w:color="000000"/>
            </w:tcBorders>
          </w:tcPr>
          <w:p w14:paraId="7E644B93"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Fulfills the assignment(s) by choosing a format, language, or graph (or other visual representation) that </w:t>
            </w:r>
            <w:r w:rsidRPr="00194572">
              <w:rPr>
                <w:rFonts w:asciiTheme="majorHAnsi" w:hAnsiTheme="majorHAnsi"/>
                <w:b/>
                <w:bCs/>
                <w:sz w:val="22"/>
                <w:szCs w:val="22"/>
              </w:rPr>
              <w:t xml:space="preserve">connects in a basic way </w:t>
            </w:r>
            <w:r w:rsidRPr="00194572">
              <w:rPr>
                <w:rFonts w:asciiTheme="majorHAnsi" w:hAnsiTheme="majorHAnsi"/>
                <w:sz w:val="22"/>
                <w:szCs w:val="22"/>
              </w:rPr>
              <w:t xml:space="preserve">what is being communicated (content) with how it is said (form). </w:t>
            </w:r>
          </w:p>
        </w:tc>
        <w:tc>
          <w:tcPr>
            <w:tcW w:w="3105" w:type="dxa"/>
            <w:tcBorders>
              <w:top w:val="single" w:sz="2" w:space="0" w:color="000000"/>
              <w:left w:val="single" w:sz="2" w:space="0" w:color="000000"/>
              <w:bottom w:val="single" w:sz="2" w:space="0" w:color="000000"/>
              <w:right w:val="single" w:sz="2" w:space="0" w:color="000000"/>
            </w:tcBorders>
          </w:tcPr>
          <w:p w14:paraId="68B43C0A"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Fulfills the assignment(s) (i.e. to produce an essay, a poster, a video, a PowerPoint presentation, etc.) </w:t>
            </w:r>
            <w:r w:rsidRPr="00194572">
              <w:rPr>
                <w:rFonts w:asciiTheme="majorHAnsi" w:hAnsiTheme="majorHAnsi"/>
                <w:b/>
                <w:bCs/>
                <w:sz w:val="22"/>
                <w:szCs w:val="22"/>
              </w:rPr>
              <w:t>in an appropriate form</w:t>
            </w:r>
            <w:r w:rsidRPr="00194572">
              <w:rPr>
                <w:rFonts w:asciiTheme="majorHAnsi" w:hAnsiTheme="majorHAnsi"/>
                <w:sz w:val="22"/>
                <w:szCs w:val="22"/>
              </w:rPr>
              <w:t xml:space="preserve">. </w:t>
            </w:r>
          </w:p>
        </w:tc>
      </w:tr>
      <w:tr w:rsidR="00194572" w:rsidRPr="00022387" w14:paraId="5ED5BC41" w14:textId="77777777" w:rsidTr="008D0373">
        <w:tblPrEx>
          <w:tblCellMar>
            <w:top w:w="0" w:type="dxa"/>
            <w:bottom w:w="0" w:type="dxa"/>
          </w:tblCellMar>
        </w:tblPrEx>
        <w:trPr>
          <w:trHeight w:val="673"/>
        </w:trPr>
        <w:tc>
          <w:tcPr>
            <w:tcW w:w="2998" w:type="dxa"/>
            <w:tcBorders>
              <w:top w:val="single" w:sz="2" w:space="0" w:color="000000"/>
              <w:left w:val="single" w:sz="2" w:space="0" w:color="000000"/>
              <w:bottom w:val="single" w:sz="4" w:space="0" w:color="000000"/>
              <w:right w:val="single" w:sz="2" w:space="0" w:color="000000"/>
            </w:tcBorders>
          </w:tcPr>
          <w:p w14:paraId="1B62D8BC" w14:textId="77777777" w:rsidR="00194572" w:rsidRPr="00194572" w:rsidRDefault="00194572" w:rsidP="00194572">
            <w:pPr>
              <w:pStyle w:val="Default"/>
              <w:spacing w:line="276" w:lineRule="auto"/>
              <w:rPr>
                <w:rFonts w:asciiTheme="majorHAnsi" w:hAnsiTheme="majorHAnsi"/>
                <w:b/>
                <w:bCs/>
                <w:sz w:val="22"/>
                <w:szCs w:val="22"/>
              </w:rPr>
            </w:pPr>
            <w:r w:rsidRPr="00194572">
              <w:rPr>
                <w:rFonts w:asciiTheme="majorHAnsi" w:hAnsiTheme="majorHAnsi"/>
                <w:b/>
                <w:bCs/>
                <w:sz w:val="22"/>
                <w:szCs w:val="22"/>
              </w:rPr>
              <w:t xml:space="preserve">Reflection and Self-Assessment </w:t>
            </w:r>
          </w:p>
          <w:p w14:paraId="3A215BD2"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i/>
                <w:iCs/>
                <w:sz w:val="22"/>
                <w:szCs w:val="22"/>
              </w:rPr>
              <w:t xml:space="preserve">Demonstrates a developing sense of self as a learner, building on prior experiences to respond to new and challenging contexts (may be evident in self-assessment, reflective, or creative work) </w:t>
            </w:r>
          </w:p>
        </w:tc>
        <w:tc>
          <w:tcPr>
            <w:tcW w:w="3104" w:type="dxa"/>
            <w:tcBorders>
              <w:top w:val="single" w:sz="2" w:space="0" w:color="000000"/>
              <w:left w:val="single" w:sz="2" w:space="0" w:color="000000"/>
              <w:bottom w:val="single" w:sz="4" w:space="0" w:color="000000"/>
              <w:right w:val="single" w:sz="2" w:space="0" w:color="000000"/>
            </w:tcBorders>
          </w:tcPr>
          <w:p w14:paraId="2CCC519F"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Envisions a future self (and possibly makes plans that build on past experiences) that have occurred across multiple and diverse contexts. </w:t>
            </w:r>
          </w:p>
        </w:tc>
        <w:tc>
          <w:tcPr>
            <w:tcW w:w="3105" w:type="dxa"/>
            <w:tcBorders>
              <w:top w:val="single" w:sz="2" w:space="0" w:color="000000"/>
              <w:left w:val="single" w:sz="2" w:space="0" w:color="000000"/>
              <w:bottom w:val="single" w:sz="4" w:space="0" w:color="000000"/>
              <w:right w:val="single" w:sz="4" w:space="0" w:color="000000"/>
            </w:tcBorders>
          </w:tcPr>
          <w:p w14:paraId="3563FB6E"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Evaluates changes in own learning over time, recognizing complex contextual factors (e.g., works with ambiguity and risk, deals with frustration, considers ethical frameworks). </w:t>
            </w:r>
          </w:p>
        </w:tc>
        <w:tc>
          <w:tcPr>
            <w:tcW w:w="3105" w:type="dxa"/>
            <w:tcBorders>
              <w:top w:val="single" w:sz="2" w:space="0" w:color="000000"/>
              <w:left w:val="single" w:sz="4" w:space="0" w:color="000000"/>
              <w:bottom w:val="single" w:sz="4" w:space="0" w:color="000000"/>
              <w:right w:val="single" w:sz="2" w:space="0" w:color="000000"/>
            </w:tcBorders>
          </w:tcPr>
          <w:p w14:paraId="57B18D6A"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Articulates strengths and challenges (within specific performances or events) to increase effectiveness in different contexts (through increased self-awareness). </w:t>
            </w:r>
          </w:p>
        </w:tc>
        <w:tc>
          <w:tcPr>
            <w:tcW w:w="3105" w:type="dxa"/>
            <w:tcBorders>
              <w:top w:val="single" w:sz="2" w:space="0" w:color="000000"/>
              <w:left w:val="single" w:sz="2" w:space="0" w:color="000000"/>
              <w:bottom w:val="single" w:sz="4" w:space="0" w:color="000000"/>
              <w:right w:val="single" w:sz="2" w:space="0" w:color="000000"/>
            </w:tcBorders>
          </w:tcPr>
          <w:p w14:paraId="518B0F45" w14:textId="77777777" w:rsidR="00194572" w:rsidRPr="00194572" w:rsidRDefault="00194572" w:rsidP="00194572">
            <w:pPr>
              <w:pStyle w:val="Default"/>
              <w:spacing w:line="276" w:lineRule="auto"/>
              <w:rPr>
                <w:rFonts w:asciiTheme="majorHAnsi" w:hAnsiTheme="majorHAnsi"/>
                <w:sz w:val="22"/>
                <w:szCs w:val="22"/>
              </w:rPr>
            </w:pPr>
            <w:r w:rsidRPr="00194572">
              <w:rPr>
                <w:rFonts w:asciiTheme="majorHAnsi" w:hAnsiTheme="majorHAnsi"/>
                <w:sz w:val="22"/>
                <w:szCs w:val="22"/>
              </w:rPr>
              <w:t xml:space="preserve">Describes own performances with general descriptors of success and failure. </w:t>
            </w:r>
          </w:p>
        </w:tc>
      </w:tr>
    </w:tbl>
    <w:p w14:paraId="48A402EC" w14:textId="77777777" w:rsidR="00194572" w:rsidRDefault="00194572"/>
    <w:p w14:paraId="5710F47F" w14:textId="77777777" w:rsidR="00194572" w:rsidRDefault="00194572">
      <w:r>
        <w:br w:type="page"/>
      </w:r>
    </w:p>
    <w:p w14:paraId="40808108" w14:textId="77777777" w:rsidR="00194572" w:rsidRDefault="00194572">
      <w:pPr>
        <w:sectPr w:rsidR="00194572" w:rsidSect="00194572">
          <w:footerReference w:type="even" r:id="rId8"/>
          <w:footerReference w:type="default" r:id="rId9"/>
          <w:type w:val="continuous"/>
          <w:pgSz w:w="16840" w:h="11900" w:orient="landscape"/>
          <w:pgMar w:top="720" w:right="720" w:bottom="720" w:left="720" w:header="720" w:footer="720" w:gutter="0"/>
          <w:cols w:space="720"/>
          <w:docGrid w:linePitch="360"/>
        </w:sectPr>
      </w:pPr>
    </w:p>
    <w:p w14:paraId="1CE2E208" w14:textId="77777777" w:rsidR="00194572" w:rsidRPr="00194572" w:rsidRDefault="00194572" w:rsidP="00DF5E15">
      <w:pPr>
        <w:pStyle w:val="Heading1"/>
        <w:spacing w:line="360" w:lineRule="auto"/>
      </w:pPr>
      <w:r w:rsidRPr="00194572">
        <w:t xml:space="preserve">INTEGRATIVE LEARNING VALUE RUBRIC </w:t>
      </w:r>
    </w:p>
    <w:p w14:paraId="47060361" w14:textId="77777777" w:rsidR="00194572" w:rsidRPr="00194572" w:rsidRDefault="00194572" w:rsidP="00DF5E15">
      <w:pPr>
        <w:pStyle w:val="CM32"/>
        <w:spacing w:after="240" w:line="360" w:lineRule="auto"/>
        <w:ind w:right="290"/>
        <w:rPr>
          <w:rFonts w:asciiTheme="majorHAnsi" w:hAnsiTheme="majorHAnsi" w:cs="Garamond"/>
        </w:rPr>
      </w:pPr>
      <w:r w:rsidRPr="00194572">
        <w:rPr>
          <w:rFonts w:asciiTheme="majorHAnsi" w:hAnsiTheme="majorHAnsi" w:cs="Garamond"/>
        </w:rPr>
        <w:t xml:space="preserve">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 </w:t>
      </w:r>
    </w:p>
    <w:p w14:paraId="4CBC7C1A" w14:textId="77777777" w:rsidR="00194572" w:rsidRPr="00194572" w:rsidRDefault="00194572" w:rsidP="00DF5E15">
      <w:pPr>
        <w:pStyle w:val="Heading2"/>
        <w:spacing w:before="0" w:after="240" w:line="360" w:lineRule="auto"/>
      </w:pPr>
      <w:r w:rsidRPr="00194572">
        <w:t xml:space="preserve">Definition </w:t>
      </w:r>
    </w:p>
    <w:p w14:paraId="75F1BF71" w14:textId="77777777" w:rsidR="00194572" w:rsidRPr="00194572" w:rsidRDefault="00194572" w:rsidP="00DF5E15">
      <w:pPr>
        <w:pStyle w:val="CM32"/>
        <w:spacing w:after="240" w:line="360" w:lineRule="auto"/>
        <w:ind w:right="290"/>
        <w:rPr>
          <w:rFonts w:asciiTheme="majorHAnsi" w:hAnsiTheme="majorHAnsi" w:cs="Garamond"/>
        </w:rPr>
      </w:pPr>
      <w:r w:rsidRPr="00194572">
        <w:rPr>
          <w:rFonts w:asciiTheme="majorHAnsi" w:hAnsiTheme="majorHAnsi" w:cs="Garamond"/>
        </w:rPr>
        <w:t xml:space="preserve">Integrative learning is an understanding and a disposition that a student builds across the curriculum and co-curriculum, from making simple connections among ideas and experiences to synthesizing and transferring learning to new, complex situations within and beyond the campus. </w:t>
      </w:r>
    </w:p>
    <w:p w14:paraId="564A55A0" w14:textId="77777777" w:rsidR="00194572" w:rsidRPr="00194572" w:rsidRDefault="00194572" w:rsidP="00DF5E15">
      <w:pPr>
        <w:pStyle w:val="Heading2"/>
        <w:spacing w:before="0" w:after="240" w:line="360" w:lineRule="auto"/>
      </w:pPr>
      <w:r w:rsidRPr="00194572">
        <w:t xml:space="preserve">Framing Language </w:t>
      </w:r>
    </w:p>
    <w:p w14:paraId="7CC3B376" w14:textId="77777777" w:rsidR="00194572" w:rsidRPr="00194572" w:rsidRDefault="00194572" w:rsidP="00DF5E15">
      <w:pPr>
        <w:pStyle w:val="CM4"/>
        <w:spacing w:after="240" w:line="360" w:lineRule="auto"/>
        <w:ind w:right="80"/>
        <w:rPr>
          <w:rFonts w:asciiTheme="majorHAnsi" w:hAnsiTheme="majorHAnsi" w:cs="Garamond"/>
        </w:rPr>
      </w:pPr>
      <w:r w:rsidRPr="00194572">
        <w:rPr>
          <w:rFonts w:asciiTheme="majorHAnsi" w:hAnsiTheme="majorHAnsi" w:cs="Garamond"/>
        </w:rPr>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w:t>
      </w:r>
      <w:r>
        <w:rPr>
          <w:rFonts w:asciiTheme="majorHAnsi" w:hAnsiTheme="majorHAnsi" w:cs="Garamond"/>
        </w:rPr>
        <w:t xml:space="preserve"> </w:t>
      </w:r>
      <w:r w:rsidRPr="00194572">
        <w:rPr>
          <w:rFonts w:asciiTheme="majorHAnsi" w:hAnsiTheme="majorHAnsi" w:cs="Garamond"/>
        </w:rPr>
        <w:t xml:space="preserve">foundation, but integrative learning goes beyond academic boundaries. Indeed, integrative experiences often occur as learners address real-world problems,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 </w:t>
      </w:r>
    </w:p>
    <w:p w14:paraId="7AC8BBFC" w14:textId="77777777" w:rsidR="00194572" w:rsidRPr="00194572" w:rsidRDefault="00194572" w:rsidP="00DF5E15">
      <w:pPr>
        <w:pStyle w:val="CM20"/>
        <w:spacing w:after="240" w:line="360" w:lineRule="auto"/>
        <w:ind w:right="290"/>
        <w:rPr>
          <w:rFonts w:asciiTheme="majorHAnsi" w:hAnsiTheme="majorHAnsi" w:cs="Garamond"/>
        </w:rPr>
      </w:pPr>
      <w:r w:rsidRPr="00194572">
        <w:rPr>
          <w:rFonts w:asciiTheme="majorHAnsi" w:hAnsiTheme="majorHAnsi" w:cs="Garamond"/>
        </w:rPr>
        <w:t xml:space="preserve">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self assessment,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 </w:t>
      </w:r>
    </w:p>
    <w:p w14:paraId="01E0B826" w14:textId="77777777" w:rsidR="00194572" w:rsidRPr="00194572" w:rsidRDefault="00194572" w:rsidP="00DF5E15">
      <w:pPr>
        <w:pStyle w:val="CM32"/>
        <w:spacing w:after="240" w:line="360" w:lineRule="auto"/>
        <w:rPr>
          <w:rFonts w:asciiTheme="majorHAnsi" w:hAnsiTheme="majorHAnsi" w:cs="Garamond"/>
        </w:rPr>
      </w:pPr>
      <w:r w:rsidRPr="00194572">
        <w:rPr>
          <w:rFonts w:asciiTheme="majorHAnsi" w:hAnsiTheme="majorHAnsi" w:cs="Garamond"/>
        </w:rPr>
        <w:t xml:space="preserve">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self reflection in arts and humanities, but they may be embedded in individual performances and less evident. The key in the 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 </w:t>
      </w:r>
    </w:p>
    <w:p w14:paraId="25053830" w14:textId="77777777" w:rsidR="00194572" w:rsidRPr="00194572" w:rsidRDefault="00194572" w:rsidP="00DF5E15">
      <w:pPr>
        <w:pStyle w:val="Heading2"/>
        <w:spacing w:before="0" w:after="240" w:line="360" w:lineRule="auto"/>
      </w:pPr>
      <w:r w:rsidRPr="00194572">
        <w:t xml:space="preserve">Glossary </w:t>
      </w:r>
    </w:p>
    <w:p w14:paraId="54494DA0" w14:textId="77777777" w:rsidR="00194572" w:rsidRPr="00194572" w:rsidRDefault="00194572" w:rsidP="00DF5E15">
      <w:pPr>
        <w:pStyle w:val="CM3"/>
        <w:spacing w:after="240" w:line="360" w:lineRule="auto"/>
        <w:rPr>
          <w:rStyle w:val="SubtleEmphasis"/>
        </w:rPr>
      </w:pPr>
      <w:r w:rsidRPr="00194572">
        <w:rPr>
          <w:rStyle w:val="SubtleEmphasis"/>
        </w:rPr>
        <w:t xml:space="preserve">The definitions that follow were developed to clarify terms and concepts used in this rubric only. </w:t>
      </w:r>
    </w:p>
    <w:p w14:paraId="1B33C8D8"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Academic knowledge:  Disciplinary learning; learning from academic study, texts, etc. </w:t>
      </w:r>
    </w:p>
    <w:p w14:paraId="2CACD884"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Content:  The information conveyed in the work samples or collections of work. </w:t>
      </w:r>
    </w:p>
    <w:p w14:paraId="7DFB15D1"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Contexts:  Actual or simulated situations in which a student demonstrates learning outcomes.  New and challenging contexts encourage students to stretch beyond</w:t>
      </w:r>
      <w:r>
        <w:rPr>
          <w:rFonts w:asciiTheme="majorHAnsi" w:hAnsiTheme="majorHAnsi"/>
          <w:color w:val="auto"/>
        </w:rPr>
        <w:t xml:space="preserve"> </w:t>
      </w:r>
      <w:r w:rsidRPr="00194572">
        <w:rPr>
          <w:rFonts w:asciiTheme="majorHAnsi" w:hAnsiTheme="majorHAnsi"/>
          <w:color w:val="auto"/>
        </w:rPr>
        <w:t>their current</w:t>
      </w:r>
      <w:r>
        <w:rPr>
          <w:rFonts w:asciiTheme="majorHAnsi" w:hAnsiTheme="majorHAnsi"/>
          <w:color w:val="auto"/>
        </w:rPr>
        <w:t xml:space="preserve"> </w:t>
      </w:r>
      <w:r w:rsidRPr="00194572">
        <w:rPr>
          <w:rFonts w:asciiTheme="majorHAnsi" w:hAnsiTheme="majorHAnsi"/>
          <w:color w:val="auto"/>
        </w:rPr>
        <w:t xml:space="preserve">frames of reference. </w:t>
      </w:r>
    </w:p>
    <w:p w14:paraId="2480F946"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Co-curriculum:  A parallel component of the academic curriculum that is in addition to formal classroom (student government, community service, residence hall activities, student organizations, etc.). </w:t>
      </w:r>
    </w:p>
    <w:p w14:paraId="02E7C022"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Experience:  Learning that takes place in a setting outside of the formal classroom, such as workplace, service learning site, internship site or another. </w:t>
      </w:r>
    </w:p>
    <w:p w14:paraId="0FC299B1"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Form:  The external frameworks in which information and evidence are presented, ranging from choices for particular work sample or collection of works (such as a research paper, PowerPoint, video recording, etc.) to choices in make-up of the eportfolio. </w:t>
      </w:r>
    </w:p>
    <w:p w14:paraId="378EDDC4"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Performance:   A dynamic and sustained act that brings together knowing and doing (creating a painting, solving an experimental design problem, developing a public relations strategy for a business, etc.); performance makes learning observable. </w:t>
      </w:r>
    </w:p>
    <w:p w14:paraId="7EDE7719"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Reflection: A meta-cognitive act of examining a performance in order to explore its significance and consequences. </w:t>
      </w:r>
    </w:p>
    <w:p w14:paraId="378C048D" w14:textId="77777777" w:rsidR="00194572" w:rsidRPr="00194572" w:rsidRDefault="00194572" w:rsidP="00DF5E15">
      <w:pPr>
        <w:pStyle w:val="Default"/>
        <w:numPr>
          <w:ilvl w:val="0"/>
          <w:numId w:val="3"/>
        </w:numPr>
        <w:spacing w:after="240" w:line="360" w:lineRule="auto"/>
        <w:rPr>
          <w:rFonts w:asciiTheme="majorHAnsi" w:hAnsiTheme="majorHAnsi"/>
          <w:color w:val="auto"/>
        </w:rPr>
      </w:pPr>
      <w:r w:rsidRPr="00194572">
        <w:rPr>
          <w:rFonts w:asciiTheme="majorHAnsi" w:hAnsiTheme="majorHAnsi"/>
          <w:color w:val="auto"/>
        </w:rPr>
        <w:t xml:space="preserve">Self Assessment:  Describing, interpreting, and judging a performance based on stated or implied expectations followed by planning for further learning. </w:t>
      </w:r>
    </w:p>
    <w:p w14:paraId="1197627A" w14:textId="77777777" w:rsidR="00451201" w:rsidRPr="00194572" w:rsidRDefault="00451201" w:rsidP="00DF5E15">
      <w:pPr>
        <w:spacing w:after="240" w:line="360" w:lineRule="auto"/>
        <w:rPr>
          <w:sz w:val="24"/>
          <w:szCs w:val="24"/>
        </w:rPr>
      </w:pPr>
    </w:p>
    <w:p w14:paraId="77A9A035" w14:textId="77777777" w:rsidR="00194572" w:rsidRPr="00194572" w:rsidRDefault="00194572" w:rsidP="00DF5E15">
      <w:pPr>
        <w:pStyle w:val="CM30"/>
        <w:spacing w:after="240" w:line="360" w:lineRule="auto"/>
        <w:rPr>
          <w:rFonts w:asciiTheme="majorHAnsi" w:hAnsiTheme="majorHAnsi" w:cs="Garamond"/>
        </w:rPr>
      </w:pPr>
      <w:r>
        <w:rPr>
          <w:rFonts w:asciiTheme="majorHAnsi" w:hAnsiTheme="majorHAnsi" w:cs="Garamond"/>
          <w:i/>
          <w:iCs/>
        </w:rPr>
        <w:t>F</w:t>
      </w:r>
      <w:r w:rsidRPr="00194572">
        <w:rPr>
          <w:rFonts w:asciiTheme="majorHAnsi" w:hAnsiTheme="majorHAnsi" w:cs="Garamond"/>
          <w:i/>
          <w:iCs/>
        </w:rPr>
        <w:t xml:space="preserve">or more information, please contact value@aacu.org </w:t>
      </w:r>
    </w:p>
    <w:p w14:paraId="417412CE" w14:textId="77777777" w:rsidR="00194572" w:rsidRPr="00194572" w:rsidRDefault="00194572" w:rsidP="00194572">
      <w:pPr>
        <w:spacing w:after="120" w:line="276" w:lineRule="auto"/>
        <w:rPr>
          <w:sz w:val="24"/>
          <w:szCs w:val="24"/>
        </w:rPr>
      </w:pPr>
    </w:p>
    <w:sectPr w:rsidR="00194572" w:rsidRPr="00194572" w:rsidSect="0019457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75E0" w14:textId="77777777" w:rsidR="00DF5E15" w:rsidRDefault="00DF5E15" w:rsidP="00DF5E15">
      <w:r>
        <w:separator/>
      </w:r>
    </w:p>
  </w:endnote>
  <w:endnote w:type="continuationSeparator" w:id="0">
    <w:p w14:paraId="46D3EFFA" w14:textId="77777777" w:rsidR="00DF5E15" w:rsidRDefault="00DF5E15" w:rsidP="00DF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ndale Mono">
    <w:panose1 w:val="020B0509000000000004"/>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DC11" w14:textId="77777777" w:rsidR="00DF5E15" w:rsidRDefault="00DF5E15" w:rsidP="007C5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55191" w14:textId="77777777" w:rsidR="00DF5E15" w:rsidRDefault="00DF5E15" w:rsidP="00DF5E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6AAB" w14:textId="77777777" w:rsidR="00DF5E15" w:rsidRDefault="00DF5E15" w:rsidP="007C5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A8B">
      <w:rPr>
        <w:rStyle w:val="PageNumber"/>
        <w:noProof/>
      </w:rPr>
      <w:t>1</w:t>
    </w:r>
    <w:r>
      <w:rPr>
        <w:rStyle w:val="PageNumber"/>
      </w:rPr>
      <w:fldChar w:fldCharType="end"/>
    </w:r>
  </w:p>
  <w:p w14:paraId="01ED1477" w14:textId="77777777" w:rsidR="00DF5E15" w:rsidRDefault="00DF5E15" w:rsidP="00DF5E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244ED" w14:textId="77777777" w:rsidR="00DF5E15" w:rsidRDefault="00DF5E15" w:rsidP="00DF5E15">
      <w:r>
        <w:separator/>
      </w:r>
    </w:p>
  </w:footnote>
  <w:footnote w:type="continuationSeparator" w:id="0">
    <w:p w14:paraId="5428086D" w14:textId="77777777" w:rsidR="00DF5E15" w:rsidRDefault="00DF5E15" w:rsidP="00DF5E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9A"/>
    <w:multiLevelType w:val="hybridMultilevel"/>
    <w:tmpl w:val="A79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3BDE7"/>
    <w:multiLevelType w:val="hybridMultilevel"/>
    <w:tmpl w:val="42354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135BE0"/>
    <w:multiLevelType w:val="multilevel"/>
    <w:tmpl w:val="42354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72"/>
    <w:rsid w:val="000202BF"/>
    <w:rsid w:val="00194572"/>
    <w:rsid w:val="001F51A4"/>
    <w:rsid w:val="002E33A0"/>
    <w:rsid w:val="00433016"/>
    <w:rsid w:val="00451201"/>
    <w:rsid w:val="006D6B11"/>
    <w:rsid w:val="00731429"/>
    <w:rsid w:val="00734DAD"/>
    <w:rsid w:val="008D0373"/>
    <w:rsid w:val="00A42F9C"/>
    <w:rsid w:val="00B94742"/>
    <w:rsid w:val="00DF5E15"/>
    <w:rsid w:val="00FA0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F0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2"/>
    <w:rPr>
      <w:rFonts w:ascii="Times New Roman" w:eastAsia="Times New Roman" w:hAnsi="Times New Roman" w:cs="Times New Roman"/>
      <w:sz w:val="20"/>
      <w:szCs w:val="20"/>
      <w:lang w:val="en-AU"/>
    </w:rPr>
  </w:style>
  <w:style w:type="paragraph" w:styleId="Heading1">
    <w:name w:val="heading 1"/>
    <w:basedOn w:val="Normal"/>
    <w:next w:val="Normal"/>
    <w:link w:val="Heading1Char"/>
    <w:autoRedefine/>
    <w:uiPriority w:val="9"/>
    <w:qFormat/>
    <w:rsid w:val="00DF5E15"/>
    <w:pPr>
      <w:keepNext/>
      <w:keepLines/>
      <w:spacing w:after="240"/>
      <w:outlineLvl w:val="0"/>
    </w:pPr>
    <w:rPr>
      <w:rFonts w:asciiTheme="majorHAnsi" w:eastAsiaTheme="majorEastAsia" w:hAnsiTheme="majorHAnsi" w:cstheme="majorBidi"/>
      <w:b/>
      <w:bCs/>
      <w:color w:val="4A442A" w:themeColor="background2" w:themeShade="40"/>
      <w:sz w:val="36"/>
      <w:szCs w:val="32"/>
      <w:lang w:val="en-US"/>
    </w:rPr>
  </w:style>
  <w:style w:type="paragraph" w:styleId="Heading2">
    <w:name w:val="heading 2"/>
    <w:basedOn w:val="Normal"/>
    <w:next w:val="Normal"/>
    <w:link w:val="Heading2Char"/>
    <w:autoRedefine/>
    <w:uiPriority w:val="9"/>
    <w:unhideWhenUsed/>
    <w:qFormat/>
    <w:rsid w:val="00DF5E15"/>
    <w:pPr>
      <w:keepNext/>
      <w:keepLines/>
      <w:spacing w:before="240" w:after="120"/>
      <w:outlineLvl w:val="1"/>
    </w:pPr>
    <w:rPr>
      <w:rFonts w:asciiTheme="majorHAnsi" w:eastAsiaTheme="majorEastAsia" w:hAnsiTheme="majorHAnsi" w:cstheme="majorBidi"/>
      <w:b/>
      <w:bCs/>
      <w:color w:val="4A442A" w:themeColor="background2" w:themeShade="40"/>
      <w:sz w:val="24"/>
      <w:szCs w:val="26"/>
      <w:lang w:val="en-US"/>
    </w:rPr>
  </w:style>
  <w:style w:type="paragraph" w:styleId="Heading3">
    <w:name w:val="heading 3"/>
    <w:basedOn w:val="Normal"/>
    <w:next w:val="Normal"/>
    <w:link w:val="Heading3Char"/>
    <w:autoRedefine/>
    <w:uiPriority w:val="9"/>
    <w:unhideWhenUsed/>
    <w:qFormat/>
    <w:rsid w:val="00A42F9C"/>
    <w:pPr>
      <w:keepNext/>
      <w:keepLines/>
      <w:spacing w:before="200"/>
      <w:outlineLvl w:val="2"/>
    </w:pPr>
    <w:rPr>
      <w:rFonts w:eastAsiaTheme="majorEastAsia" w:cstheme="majorBidi"/>
      <w:b/>
      <w:bCs/>
      <w:color w:val="4A442A" w:themeColor="background2" w:themeShade="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E15"/>
    <w:rPr>
      <w:rFonts w:asciiTheme="majorHAnsi" w:eastAsiaTheme="majorEastAsia" w:hAnsiTheme="majorHAnsi" w:cstheme="majorBidi"/>
      <w:b/>
      <w:bCs/>
      <w:color w:val="4A442A" w:themeColor="background2" w:themeShade="40"/>
      <w:sz w:val="36"/>
      <w:szCs w:val="32"/>
    </w:rPr>
  </w:style>
  <w:style w:type="character" w:styleId="Strong">
    <w:name w:val="Strong"/>
    <w:basedOn w:val="DefaultParagraphFont"/>
    <w:uiPriority w:val="22"/>
    <w:qFormat/>
    <w:rsid w:val="00433016"/>
    <w:rPr>
      <w:rFonts w:ascii="Andale Mono" w:hAnsi="Andale Mono"/>
      <w:b/>
      <w:bCs/>
      <w:sz w:val="24"/>
    </w:rPr>
  </w:style>
  <w:style w:type="character" w:customStyle="1" w:styleId="Heading3Char">
    <w:name w:val="Heading 3 Char"/>
    <w:basedOn w:val="DefaultParagraphFont"/>
    <w:link w:val="Heading3"/>
    <w:uiPriority w:val="9"/>
    <w:rsid w:val="00A42F9C"/>
    <w:rPr>
      <w:rFonts w:asciiTheme="majorHAnsi" w:eastAsiaTheme="majorEastAsia" w:hAnsiTheme="majorHAnsi" w:cstheme="majorBidi"/>
      <w:b/>
      <w:bCs/>
      <w:color w:val="4A442A" w:themeColor="background2" w:themeShade="40"/>
    </w:rPr>
  </w:style>
  <w:style w:type="character" w:customStyle="1" w:styleId="Heading2Char">
    <w:name w:val="Heading 2 Char"/>
    <w:basedOn w:val="DefaultParagraphFont"/>
    <w:link w:val="Heading2"/>
    <w:uiPriority w:val="9"/>
    <w:rsid w:val="00DF5E15"/>
    <w:rPr>
      <w:rFonts w:asciiTheme="majorHAnsi" w:eastAsiaTheme="majorEastAsia" w:hAnsiTheme="majorHAnsi" w:cstheme="majorBidi"/>
      <w:b/>
      <w:bCs/>
      <w:color w:val="4A442A" w:themeColor="background2" w:themeShade="40"/>
      <w:szCs w:val="26"/>
    </w:rPr>
  </w:style>
  <w:style w:type="paragraph" w:styleId="ListParagraph">
    <w:name w:val="List Paragraph"/>
    <w:basedOn w:val="Normal"/>
    <w:autoRedefine/>
    <w:uiPriority w:val="34"/>
    <w:qFormat/>
    <w:rsid w:val="00A42F9C"/>
    <w:pPr>
      <w:ind w:left="720"/>
      <w:contextualSpacing/>
    </w:pPr>
    <w:rPr>
      <w:lang w:val="en-US"/>
    </w:rPr>
  </w:style>
  <w:style w:type="paragraph" w:customStyle="1" w:styleId="Default">
    <w:name w:val="Default"/>
    <w:rsid w:val="00194572"/>
    <w:pPr>
      <w:widowControl w:val="0"/>
      <w:autoSpaceDE w:val="0"/>
      <w:autoSpaceDN w:val="0"/>
      <w:adjustRightInd w:val="0"/>
    </w:pPr>
    <w:rPr>
      <w:rFonts w:ascii="Garamond" w:eastAsia="Times New Roman" w:hAnsi="Garamond" w:cs="Garamond"/>
      <w:color w:val="000000"/>
    </w:rPr>
  </w:style>
  <w:style w:type="paragraph" w:customStyle="1" w:styleId="CM28">
    <w:name w:val="CM28"/>
    <w:basedOn w:val="Default"/>
    <w:next w:val="Default"/>
    <w:uiPriority w:val="99"/>
    <w:rsid w:val="00194572"/>
    <w:rPr>
      <w:rFonts w:cs="Times New Roman"/>
      <w:color w:val="auto"/>
    </w:rPr>
  </w:style>
  <w:style w:type="paragraph" w:customStyle="1" w:styleId="CM32">
    <w:name w:val="CM32"/>
    <w:basedOn w:val="Default"/>
    <w:next w:val="Default"/>
    <w:uiPriority w:val="99"/>
    <w:rsid w:val="00194572"/>
    <w:rPr>
      <w:rFonts w:cs="Times New Roman"/>
      <w:color w:val="auto"/>
    </w:rPr>
  </w:style>
  <w:style w:type="paragraph" w:customStyle="1" w:styleId="CM9">
    <w:name w:val="CM9"/>
    <w:basedOn w:val="Default"/>
    <w:next w:val="Default"/>
    <w:uiPriority w:val="99"/>
    <w:rsid w:val="00194572"/>
    <w:pPr>
      <w:spacing w:line="263" w:lineRule="atLeast"/>
    </w:pPr>
    <w:rPr>
      <w:rFonts w:cs="Times New Roman"/>
      <w:color w:val="auto"/>
    </w:rPr>
  </w:style>
  <w:style w:type="paragraph" w:customStyle="1" w:styleId="CM3">
    <w:name w:val="CM3"/>
    <w:basedOn w:val="Default"/>
    <w:next w:val="Default"/>
    <w:uiPriority w:val="99"/>
    <w:rsid w:val="00194572"/>
    <w:pPr>
      <w:spacing w:line="220" w:lineRule="atLeast"/>
    </w:pPr>
    <w:rPr>
      <w:rFonts w:cs="Times New Roman"/>
      <w:color w:val="auto"/>
    </w:rPr>
  </w:style>
  <w:style w:type="paragraph" w:customStyle="1" w:styleId="CM4">
    <w:name w:val="CM4"/>
    <w:basedOn w:val="Default"/>
    <w:next w:val="Default"/>
    <w:uiPriority w:val="99"/>
    <w:rsid w:val="00194572"/>
    <w:pPr>
      <w:spacing w:line="220" w:lineRule="atLeast"/>
    </w:pPr>
    <w:rPr>
      <w:rFonts w:cs="Times New Roman"/>
      <w:color w:val="auto"/>
    </w:rPr>
  </w:style>
  <w:style w:type="paragraph" w:customStyle="1" w:styleId="CM30">
    <w:name w:val="CM30"/>
    <w:basedOn w:val="Default"/>
    <w:next w:val="Default"/>
    <w:uiPriority w:val="99"/>
    <w:rsid w:val="00194572"/>
    <w:rPr>
      <w:rFonts w:cs="Times New Roman"/>
      <w:color w:val="auto"/>
    </w:rPr>
  </w:style>
  <w:style w:type="paragraph" w:customStyle="1" w:styleId="CM20">
    <w:name w:val="CM20"/>
    <w:basedOn w:val="Default"/>
    <w:next w:val="Default"/>
    <w:uiPriority w:val="99"/>
    <w:rsid w:val="00194572"/>
    <w:pPr>
      <w:spacing w:line="216" w:lineRule="atLeast"/>
    </w:pPr>
    <w:rPr>
      <w:rFonts w:cs="Times New Roman"/>
      <w:color w:val="auto"/>
    </w:rPr>
  </w:style>
  <w:style w:type="character" w:styleId="SubtleEmphasis">
    <w:name w:val="Subtle Emphasis"/>
    <w:basedOn w:val="DefaultParagraphFont"/>
    <w:uiPriority w:val="19"/>
    <w:qFormat/>
    <w:rsid w:val="00194572"/>
    <w:rPr>
      <w:rFonts w:asciiTheme="majorHAnsi" w:hAnsiTheme="majorHAnsi"/>
      <w:i/>
      <w:iCs/>
      <w:color w:val="808080" w:themeColor="text1" w:themeTint="7F"/>
      <w:sz w:val="24"/>
    </w:rPr>
  </w:style>
  <w:style w:type="paragraph" w:styleId="Footer">
    <w:name w:val="footer"/>
    <w:basedOn w:val="Normal"/>
    <w:link w:val="FooterChar"/>
    <w:uiPriority w:val="99"/>
    <w:unhideWhenUsed/>
    <w:rsid w:val="00DF5E15"/>
    <w:pPr>
      <w:tabs>
        <w:tab w:val="center" w:pos="4320"/>
        <w:tab w:val="right" w:pos="8640"/>
      </w:tabs>
    </w:pPr>
  </w:style>
  <w:style w:type="character" w:customStyle="1" w:styleId="FooterChar">
    <w:name w:val="Footer Char"/>
    <w:basedOn w:val="DefaultParagraphFont"/>
    <w:link w:val="Footer"/>
    <w:uiPriority w:val="99"/>
    <w:rsid w:val="00DF5E15"/>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DF5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72"/>
    <w:rPr>
      <w:rFonts w:ascii="Times New Roman" w:eastAsia="Times New Roman" w:hAnsi="Times New Roman" w:cs="Times New Roman"/>
      <w:sz w:val="20"/>
      <w:szCs w:val="20"/>
      <w:lang w:val="en-AU"/>
    </w:rPr>
  </w:style>
  <w:style w:type="paragraph" w:styleId="Heading1">
    <w:name w:val="heading 1"/>
    <w:basedOn w:val="Normal"/>
    <w:next w:val="Normal"/>
    <w:link w:val="Heading1Char"/>
    <w:autoRedefine/>
    <w:uiPriority w:val="9"/>
    <w:qFormat/>
    <w:rsid w:val="00DF5E15"/>
    <w:pPr>
      <w:keepNext/>
      <w:keepLines/>
      <w:spacing w:after="240"/>
      <w:outlineLvl w:val="0"/>
    </w:pPr>
    <w:rPr>
      <w:rFonts w:asciiTheme="majorHAnsi" w:eastAsiaTheme="majorEastAsia" w:hAnsiTheme="majorHAnsi" w:cstheme="majorBidi"/>
      <w:b/>
      <w:bCs/>
      <w:color w:val="4A442A" w:themeColor="background2" w:themeShade="40"/>
      <w:sz w:val="36"/>
      <w:szCs w:val="32"/>
      <w:lang w:val="en-US"/>
    </w:rPr>
  </w:style>
  <w:style w:type="paragraph" w:styleId="Heading2">
    <w:name w:val="heading 2"/>
    <w:basedOn w:val="Normal"/>
    <w:next w:val="Normal"/>
    <w:link w:val="Heading2Char"/>
    <w:autoRedefine/>
    <w:uiPriority w:val="9"/>
    <w:unhideWhenUsed/>
    <w:qFormat/>
    <w:rsid w:val="00DF5E15"/>
    <w:pPr>
      <w:keepNext/>
      <w:keepLines/>
      <w:spacing w:before="240" w:after="120"/>
      <w:outlineLvl w:val="1"/>
    </w:pPr>
    <w:rPr>
      <w:rFonts w:asciiTheme="majorHAnsi" w:eastAsiaTheme="majorEastAsia" w:hAnsiTheme="majorHAnsi" w:cstheme="majorBidi"/>
      <w:b/>
      <w:bCs/>
      <w:color w:val="4A442A" w:themeColor="background2" w:themeShade="40"/>
      <w:sz w:val="24"/>
      <w:szCs w:val="26"/>
      <w:lang w:val="en-US"/>
    </w:rPr>
  </w:style>
  <w:style w:type="paragraph" w:styleId="Heading3">
    <w:name w:val="heading 3"/>
    <w:basedOn w:val="Normal"/>
    <w:next w:val="Normal"/>
    <w:link w:val="Heading3Char"/>
    <w:autoRedefine/>
    <w:uiPriority w:val="9"/>
    <w:unhideWhenUsed/>
    <w:qFormat/>
    <w:rsid w:val="00A42F9C"/>
    <w:pPr>
      <w:keepNext/>
      <w:keepLines/>
      <w:spacing w:before="200"/>
      <w:outlineLvl w:val="2"/>
    </w:pPr>
    <w:rPr>
      <w:rFonts w:eastAsiaTheme="majorEastAsia" w:cstheme="majorBidi"/>
      <w:b/>
      <w:bCs/>
      <w:color w:val="4A442A" w:themeColor="background2" w:themeShade="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E15"/>
    <w:rPr>
      <w:rFonts w:asciiTheme="majorHAnsi" w:eastAsiaTheme="majorEastAsia" w:hAnsiTheme="majorHAnsi" w:cstheme="majorBidi"/>
      <w:b/>
      <w:bCs/>
      <w:color w:val="4A442A" w:themeColor="background2" w:themeShade="40"/>
      <w:sz w:val="36"/>
      <w:szCs w:val="32"/>
    </w:rPr>
  </w:style>
  <w:style w:type="character" w:styleId="Strong">
    <w:name w:val="Strong"/>
    <w:basedOn w:val="DefaultParagraphFont"/>
    <w:uiPriority w:val="22"/>
    <w:qFormat/>
    <w:rsid w:val="00433016"/>
    <w:rPr>
      <w:rFonts w:ascii="Andale Mono" w:hAnsi="Andale Mono"/>
      <w:b/>
      <w:bCs/>
      <w:sz w:val="24"/>
    </w:rPr>
  </w:style>
  <w:style w:type="character" w:customStyle="1" w:styleId="Heading3Char">
    <w:name w:val="Heading 3 Char"/>
    <w:basedOn w:val="DefaultParagraphFont"/>
    <w:link w:val="Heading3"/>
    <w:uiPriority w:val="9"/>
    <w:rsid w:val="00A42F9C"/>
    <w:rPr>
      <w:rFonts w:asciiTheme="majorHAnsi" w:eastAsiaTheme="majorEastAsia" w:hAnsiTheme="majorHAnsi" w:cstheme="majorBidi"/>
      <w:b/>
      <w:bCs/>
      <w:color w:val="4A442A" w:themeColor="background2" w:themeShade="40"/>
    </w:rPr>
  </w:style>
  <w:style w:type="character" w:customStyle="1" w:styleId="Heading2Char">
    <w:name w:val="Heading 2 Char"/>
    <w:basedOn w:val="DefaultParagraphFont"/>
    <w:link w:val="Heading2"/>
    <w:uiPriority w:val="9"/>
    <w:rsid w:val="00DF5E15"/>
    <w:rPr>
      <w:rFonts w:asciiTheme="majorHAnsi" w:eastAsiaTheme="majorEastAsia" w:hAnsiTheme="majorHAnsi" w:cstheme="majorBidi"/>
      <w:b/>
      <w:bCs/>
      <w:color w:val="4A442A" w:themeColor="background2" w:themeShade="40"/>
      <w:szCs w:val="26"/>
    </w:rPr>
  </w:style>
  <w:style w:type="paragraph" w:styleId="ListParagraph">
    <w:name w:val="List Paragraph"/>
    <w:basedOn w:val="Normal"/>
    <w:autoRedefine/>
    <w:uiPriority w:val="34"/>
    <w:qFormat/>
    <w:rsid w:val="00A42F9C"/>
    <w:pPr>
      <w:ind w:left="720"/>
      <w:contextualSpacing/>
    </w:pPr>
    <w:rPr>
      <w:lang w:val="en-US"/>
    </w:rPr>
  </w:style>
  <w:style w:type="paragraph" w:customStyle="1" w:styleId="Default">
    <w:name w:val="Default"/>
    <w:rsid w:val="00194572"/>
    <w:pPr>
      <w:widowControl w:val="0"/>
      <w:autoSpaceDE w:val="0"/>
      <w:autoSpaceDN w:val="0"/>
      <w:adjustRightInd w:val="0"/>
    </w:pPr>
    <w:rPr>
      <w:rFonts w:ascii="Garamond" w:eastAsia="Times New Roman" w:hAnsi="Garamond" w:cs="Garamond"/>
      <w:color w:val="000000"/>
    </w:rPr>
  </w:style>
  <w:style w:type="paragraph" w:customStyle="1" w:styleId="CM28">
    <w:name w:val="CM28"/>
    <w:basedOn w:val="Default"/>
    <w:next w:val="Default"/>
    <w:uiPriority w:val="99"/>
    <w:rsid w:val="00194572"/>
    <w:rPr>
      <w:rFonts w:cs="Times New Roman"/>
      <w:color w:val="auto"/>
    </w:rPr>
  </w:style>
  <w:style w:type="paragraph" w:customStyle="1" w:styleId="CM32">
    <w:name w:val="CM32"/>
    <w:basedOn w:val="Default"/>
    <w:next w:val="Default"/>
    <w:uiPriority w:val="99"/>
    <w:rsid w:val="00194572"/>
    <w:rPr>
      <w:rFonts w:cs="Times New Roman"/>
      <w:color w:val="auto"/>
    </w:rPr>
  </w:style>
  <w:style w:type="paragraph" w:customStyle="1" w:styleId="CM9">
    <w:name w:val="CM9"/>
    <w:basedOn w:val="Default"/>
    <w:next w:val="Default"/>
    <w:uiPriority w:val="99"/>
    <w:rsid w:val="00194572"/>
    <w:pPr>
      <w:spacing w:line="263" w:lineRule="atLeast"/>
    </w:pPr>
    <w:rPr>
      <w:rFonts w:cs="Times New Roman"/>
      <w:color w:val="auto"/>
    </w:rPr>
  </w:style>
  <w:style w:type="paragraph" w:customStyle="1" w:styleId="CM3">
    <w:name w:val="CM3"/>
    <w:basedOn w:val="Default"/>
    <w:next w:val="Default"/>
    <w:uiPriority w:val="99"/>
    <w:rsid w:val="00194572"/>
    <w:pPr>
      <w:spacing w:line="220" w:lineRule="atLeast"/>
    </w:pPr>
    <w:rPr>
      <w:rFonts w:cs="Times New Roman"/>
      <w:color w:val="auto"/>
    </w:rPr>
  </w:style>
  <w:style w:type="paragraph" w:customStyle="1" w:styleId="CM4">
    <w:name w:val="CM4"/>
    <w:basedOn w:val="Default"/>
    <w:next w:val="Default"/>
    <w:uiPriority w:val="99"/>
    <w:rsid w:val="00194572"/>
    <w:pPr>
      <w:spacing w:line="220" w:lineRule="atLeast"/>
    </w:pPr>
    <w:rPr>
      <w:rFonts w:cs="Times New Roman"/>
      <w:color w:val="auto"/>
    </w:rPr>
  </w:style>
  <w:style w:type="paragraph" w:customStyle="1" w:styleId="CM30">
    <w:name w:val="CM30"/>
    <w:basedOn w:val="Default"/>
    <w:next w:val="Default"/>
    <w:uiPriority w:val="99"/>
    <w:rsid w:val="00194572"/>
    <w:rPr>
      <w:rFonts w:cs="Times New Roman"/>
      <w:color w:val="auto"/>
    </w:rPr>
  </w:style>
  <w:style w:type="paragraph" w:customStyle="1" w:styleId="CM20">
    <w:name w:val="CM20"/>
    <w:basedOn w:val="Default"/>
    <w:next w:val="Default"/>
    <w:uiPriority w:val="99"/>
    <w:rsid w:val="00194572"/>
    <w:pPr>
      <w:spacing w:line="216" w:lineRule="atLeast"/>
    </w:pPr>
    <w:rPr>
      <w:rFonts w:cs="Times New Roman"/>
      <w:color w:val="auto"/>
    </w:rPr>
  </w:style>
  <w:style w:type="character" w:styleId="SubtleEmphasis">
    <w:name w:val="Subtle Emphasis"/>
    <w:basedOn w:val="DefaultParagraphFont"/>
    <w:uiPriority w:val="19"/>
    <w:qFormat/>
    <w:rsid w:val="00194572"/>
    <w:rPr>
      <w:rFonts w:asciiTheme="majorHAnsi" w:hAnsiTheme="majorHAnsi"/>
      <w:i/>
      <w:iCs/>
      <w:color w:val="808080" w:themeColor="text1" w:themeTint="7F"/>
      <w:sz w:val="24"/>
    </w:rPr>
  </w:style>
  <w:style w:type="paragraph" w:styleId="Footer">
    <w:name w:val="footer"/>
    <w:basedOn w:val="Normal"/>
    <w:link w:val="FooterChar"/>
    <w:uiPriority w:val="99"/>
    <w:unhideWhenUsed/>
    <w:rsid w:val="00DF5E15"/>
    <w:pPr>
      <w:tabs>
        <w:tab w:val="center" w:pos="4320"/>
        <w:tab w:val="right" w:pos="8640"/>
      </w:tabs>
    </w:pPr>
  </w:style>
  <w:style w:type="character" w:customStyle="1" w:styleId="FooterChar">
    <w:name w:val="Footer Char"/>
    <w:basedOn w:val="DefaultParagraphFont"/>
    <w:link w:val="Footer"/>
    <w:uiPriority w:val="99"/>
    <w:rsid w:val="00DF5E15"/>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DF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9492</Characters>
  <Application>Microsoft Macintosh Word</Application>
  <DocSecurity>0</DocSecurity>
  <Lines>79</Lines>
  <Paragraphs>22</Paragraphs>
  <ScaleCrop>false</ScaleCrop>
  <Company>Edith Cowan University</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Pate</dc:creator>
  <cp:keywords/>
  <dc:description/>
  <cp:lastModifiedBy>Heather Pate</cp:lastModifiedBy>
  <cp:revision>3</cp:revision>
  <cp:lastPrinted>2016-01-18T08:28:00Z</cp:lastPrinted>
  <dcterms:created xsi:type="dcterms:W3CDTF">2016-01-18T08:35:00Z</dcterms:created>
  <dcterms:modified xsi:type="dcterms:W3CDTF">2016-01-18T08:36:00Z</dcterms:modified>
</cp:coreProperties>
</file>