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E2BCD3" w14:textId="77777777" w:rsidR="0092501E" w:rsidRDefault="00E84EEB" w:rsidP="0092501E">
      <w:pPr>
        <w:spacing w:line="360" w:lineRule="auto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7C04EA7" wp14:editId="37962EF1">
                <wp:simplePos x="0" y="0"/>
                <wp:positionH relativeFrom="column">
                  <wp:posOffset>-685800</wp:posOffset>
                </wp:positionH>
                <wp:positionV relativeFrom="paragraph">
                  <wp:posOffset>-257175</wp:posOffset>
                </wp:positionV>
                <wp:extent cx="5219700" cy="342900"/>
                <wp:effectExtent l="0" t="0" r="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37AF08" w14:textId="77777777" w:rsidR="00EC205F" w:rsidRPr="00286FC8" w:rsidRDefault="00EC205F" w:rsidP="0092501E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286FC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HEPPP </w:t>
                            </w:r>
                            <w:r w:rsidR="0004355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Grant G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uidelines </w:t>
                            </w:r>
                            <w:r w:rsidR="00D341F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54pt;margin-top:-20.25pt;width:411pt;height:27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oy4sw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" filled="f" stroked="f">
                <v:textbox>
                  <w:txbxContent>
                    <w:p w14:paraId="4137AF08" w14:textId="77777777" w:rsidR="00EC205F" w:rsidRPr="00286FC8" w:rsidRDefault="00EC205F" w:rsidP="0092501E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r w:rsidRPr="00286FC8"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szCs w:val="22"/>
                        </w:rPr>
                        <w:t xml:space="preserve">HEPPP </w:t>
                      </w:r>
                      <w:r w:rsidR="0004355E"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szCs w:val="22"/>
                        </w:rPr>
                        <w:t>Grant G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szCs w:val="22"/>
                        </w:rPr>
                        <w:t xml:space="preserve">uidelines </w:t>
                      </w:r>
                      <w:r w:rsidR="00D341F7"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szCs w:val="22"/>
                        </w:rPr>
                        <w:t>2015</w:t>
                      </w:r>
                    </w:p>
                  </w:txbxContent>
                </v:textbox>
              </v:shape>
            </w:pict>
          </mc:Fallback>
        </mc:AlternateContent>
      </w:r>
      <w:r w:rsidR="0092501E">
        <w:rPr>
          <w:noProof/>
          <w:lang w:eastAsia="en-AU"/>
        </w:rPr>
        <w:drawing>
          <wp:anchor distT="0" distB="0" distL="114300" distR="114300" simplePos="0" relativeHeight="251673088" behindDoc="0" locked="0" layoutInCell="1" allowOverlap="1" wp14:anchorId="179397F7" wp14:editId="14398BFD">
            <wp:simplePos x="0" y="0"/>
            <wp:positionH relativeFrom="column">
              <wp:posOffset>-883920</wp:posOffset>
            </wp:positionH>
            <wp:positionV relativeFrom="paragraph">
              <wp:posOffset>-680720</wp:posOffset>
            </wp:positionV>
            <wp:extent cx="7029450" cy="790575"/>
            <wp:effectExtent l="19050" t="0" r="0" b="0"/>
            <wp:wrapNone/>
            <wp:docPr id="1" name="Picture 3" descr="gener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neric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772D772" w14:textId="77777777" w:rsidR="00224A17" w:rsidRPr="00224A17" w:rsidRDefault="00224A17" w:rsidP="00224A17">
      <w:pPr>
        <w:ind w:left="-567"/>
        <w:rPr>
          <w:rFonts w:asciiTheme="minorHAnsi" w:hAnsiTheme="minorHAnsi" w:cs="Arial"/>
          <w:b/>
          <w:sz w:val="22"/>
          <w:szCs w:val="22"/>
        </w:rPr>
      </w:pPr>
      <w:r w:rsidRPr="00224A17">
        <w:rPr>
          <w:rFonts w:asciiTheme="minorHAnsi" w:hAnsiTheme="minorHAnsi" w:cs="Arial"/>
          <w:b/>
          <w:sz w:val="22"/>
          <w:szCs w:val="22"/>
        </w:rPr>
        <w:t>Objectives of H</w:t>
      </w:r>
      <w:r w:rsidR="00093670">
        <w:rPr>
          <w:rFonts w:asciiTheme="minorHAnsi" w:hAnsiTheme="minorHAnsi" w:cs="Arial"/>
          <w:b/>
          <w:sz w:val="22"/>
          <w:szCs w:val="22"/>
        </w:rPr>
        <w:t xml:space="preserve">igher </w:t>
      </w:r>
      <w:r w:rsidRPr="00224A17">
        <w:rPr>
          <w:rFonts w:asciiTheme="minorHAnsi" w:hAnsiTheme="minorHAnsi" w:cs="Arial"/>
          <w:b/>
          <w:sz w:val="22"/>
          <w:szCs w:val="22"/>
        </w:rPr>
        <w:t>E</w:t>
      </w:r>
      <w:r w:rsidR="00093670">
        <w:rPr>
          <w:rFonts w:asciiTheme="minorHAnsi" w:hAnsiTheme="minorHAnsi" w:cs="Arial"/>
          <w:b/>
          <w:sz w:val="22"/>
          <w:szCs w:val="22"/>
        </w:rPr>
        <w:t xml:space="preserve">ducation </w:t>
      </w:r>
      <w:r w:rsidRPr="00224A17">
        <w:rPr>
          <w:rFonts w:asciiTheme="minorHAnsi" w:hAnsiTheme="minorHAnsi" w:cs="Arial"/>
          <w:b/>
          <w:sz w:val="22"/>
          <w:szCs w:val="22"/>
        </w:rPr>
        <w:t>P</w:t>
      </w:r>
      <w:r w:rsidR="00093670">
        <w:rPr>
          <w:rFonts w:asciiTheme="minorHAnsi" w:hAnsiTheme="minorHAnsi" w:cs="Arial"/>
          <w:b/>
          <w:sz w:val="22"/>
          <w:szCs w:val="22"/>
        </w:rPr>
        <w:t xml:space="preserve">articipation and </w:t>
      </w:r>
      <w:r w:rsidRPr="00224A17">
        <w:rPr>
          <w:rFonts w:asciiTheme="minorHAnsi" w:hAnsiTheme="minorHAnsi" w:cs="Arial"/>
          <w:b/>
          <w:sz w:val="22"/>
          <w:szCs w:val="22"/>
        </w:rPr>
        <w:t>P</w:t>
      </w:r>
      <w:r w:rsidR="00093670">
        <w:rPr>
          <w:rFonts w:asciiTheme="minorHAnsi" w:hAnsiTheme="minorHAnsi" w:cs="Arial"/>
          <w:b/>
          <w:sz w:val="22"/>
          <w:szCs w:val="22"/>
        </w:rPr>
        <w:t xml:space="preserve">artnerships </w:t>
      </w:r>
      <w:r w:rsidRPr="00224A17">
        <w:rPr>
          <w:rFonts w:asciiTheme="minorHAnsi" w:hAnsiTheme="minorHAnsi" w:cs="Arial"/>
          <w:b/>
          <w:sz w:val="22"/>
          <w:szCs w:val="22"/>
        </w:rPr>
        <w:t>P</w:t>
      </w:r>
      <w:r w:rsidR="00093670">
        <w:rPr>
          <w:rFonts w:asciiTheme="minorHAnsi" w:hAnsiTheme="minorHAnsi" w:cs="Arial"/>
          <w:b/>
          <w:sz w:val="22"/>
          <w:szCs w:val="22"/>
        </w:rPr>
        <w:t>rogram</w:t>
      </w:r>
      <w:r w:rsidRPr="00224A17">
        <w:rPr>
          <w:rFonts w:asciiTheme="minorHAnsi" w:hAnsiTheme="minorHAnsi" w:cs="Arial"/>
          <w:b/>
          <w:sz w:val="22"/>
          <w:szCs w:val="22"/>
        </w:rPr>
        <w:t xml:space="preserve"> funding</w:t>
      </w:r>
    </w:p>
    <w:p w14:paraId="3BC026BA" w14:textId="77777777" w:rsidR="00224A17" w:rsidRPr="00CE738B" w:rsidRDefault="00CE738B" w:rsidP="00224A17">
      <w:pPr>
        <w:ind w:left="-567"/>
        <w:rPr>
          <w:rFonts w:asciiTheme="minorHAnsi" w:hAnsiTheme="minorHAnsi" w:cs="Tahoma"/>
          <w:sz w:val="22"/>
          <w:szCs w:val="22"/>
        </w:rPr>
      </w:pPr>
      <w:r w:rsidRPr="00CE738B">
        <w:rPr>
          <w:rFonts w:asciiTheme="minorHAnsi" w:hAnsiTheme="minorHAnsi" w:cs="Tahoma"/>
          <w:sz w:val="22"/>
          <w:szCs w:val="22"/>
        </w:rPr>
        <w:t xml:space="preserve">The Higher Education Participation and Partnerships Program (HEPPP) aims to ensure that Australians from low </w:t>
      </w:r>
      <w:r>
        <w:rPr>
          <w:rFonts w:asciiTheme="minorHAnsi" w:hAnsiTheme="minorHAnsi" w:cs="Tahoma"/>
          <w:sz w:val="22"/>
          <w:szCs w:val="22"/>
        </w:rPr>
        <w:t>socio-economic status (low SES)</w:t>
      </w:r>
      <w:r w:rsidRPr="00CE738B">
        <w:rPr>
          <w:rFonts w:asciiTheme="minorHAnsi" w:hAnsiTheme="minorHAnsi" w:cs="Tahoma"/>
          <w:sz w:val="22"/>
          <w:szCs w:val="22"/>
        </w:rPr>
        <w:t xml:space="preserve"> backgrounds who have the ability to study at university get the opportunity to do so.  The program has two parts</w:t>
      </w:r>
      <w:r w:rsidR="00EC205F">
        <w:rPr>
          <w:rFonts w:asciiTheme="minorHAnsi" w:hAnsiTheme="minorHAnsi" w:cs="Tahoma"/>
          <w:sz w:val="22"/>
          <w:szCs w:val="22"/>
        </w:rPr>
        <w:t>:</w:t>
      </w:r>
    </w:p>
    <w:p w14:paraId="559A8024" w14:textId="77777777" w:rsidR="00CE738B" w:rsidRDefault="00CE738B" w:rsidP="00224A17">
      <w:pPr>
        <w:ind w:left="-567"/>
        <w:rPr>
          <w:rFonts w:asciiTheme="minorHAnsi" w:hAnsiTheme="minorHAnsi" w:cs="Arial"/>
          <w:sz w:val="22"/>
          <w:szCs w:val="22"/>
        </w:rPr>
      </w:pPr>
    </w:p>
    <w:p w14:paraId="2332C55D" w14:textId="77777777" w:rsidR="00224A17" w:rsidRDefault="00224A17" w:rsidP="00224A17">
      <w:pPr>
        <w:ind w:left="-567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Participation</w:t>
      </w:r>
      <w:r w:rsidR="00157F8B">
        <w:rPr>
          <w:rFonts w:asciiTheme="minorHAnsi" w:hAnsiTheme="minorHAnsi" w:cs="Arial"/>
          <w:b/>
          <w:sz w:val="22"/>
          <w:szCs w:val="22"/>
        </w:rPr>
        <w:t xml:space="preserve"> </w:t>
      </w:r>
    </w:p>
    <w:p w14:paraId="6DCA43EB" w14:textId="77777777" w:rsidR="00224A17" w:rsidRPr="00DE24DE" w:rsidRDefault="00224A17" w:rsidP="00224A17">
      <w:pPr>
        <w:ind w:left="-567"/>
        <w:rPr>
          <w:rFonts w:asciiTheme="minorHAnsi" w:hAnsiTheme="minorHAnsi" w:cs="Arial"/>
          <w:sz w:val="22"/>
          <w:szCs w:val="22"/>
        </w:rPr>
      </w:pPr>
      <w:r w:rsidRPr="00DE24DE">
        <w:rPr>
          <w:rFonts w:asciiTheme="minorHAnsi" w:hAnsiTheme="minorHAnsi" w:cs="Arial"/>
          <w:sz w:val="22"/>
          <w:szCs w:val="22"/>
        </w:rPr>
        <w:t>The objective of the Participation Component of the HEPPP is to increase the participation of current and prospec</w:t>
      </w:r>
      <w:r w:rsidR="00CE738B">
        <w:rPr>
          <w:rFonts w:asciiTheme="minorHAnsi" w:hAnsiTheme="minorHAnsi" w:cs="Arial"/>
          <w:sz w:val="22"/>
          <w:szCs w:val="22"/>
        </w:rPr>
        <w:t xml:space="preserve">tive domestic students from low </w:t>
      </w:r>
      <w:r w:rsidRPr="00DE24DE">
        <w:rPr>
          <w:rFonts w:asciiTheme="minorHAnsi" w:hAnsiTheme="minorHAnsi" w:cs="Arial"/>
          <w:sz w:val="22"/>
          <w:szCs w:val="22"/>
        </w:rPr>
        <w:t>SES backgrounds in accredited undergraduate qualifications.</w:t>
      </w:r>
    </w:p>
    <w:p w14:paraId="039C84FD" w14:textId="77777777" w:rsidR="00224A17" w:rsidRPr="00DE24DE" w:rsidRDefault="00224A17" w:rsidP="00224A17">
      <w:pPr>
        <w:ind w:left="-567"/>
        <w:rPr>
          <w:rFonts w:asciiTheme="minorHAnsi" w:hAnsiTheme="minorHAnsi" w:cs="Arial"/>
          <w:sz w:val="22"/>
          <w:szCs w:val="22"/>
        </w:rPr>
      </w:pPr>
    </w:p>
    <w:p w14:paraId="26A67FB4" w14:textId="77777777" w:rsidR="00224A17" w:rsidRPr="00DE24DE" w:rsidRDefault="00224A17" w:rsidP="00BF194E">
      <w:pPr>
        <w:tabs>
          <w:tab w:val="left" w:pos="851"/>
        </w:tabs>
        <w:ind w:left="-567"/>
        <w:rPr>
          <w:rFonts w:asciiTheme="minorHAnsi" w:hAnsiTheme="minorHAnsi" w:cs="Arial"/>
          <w:sz w:val="22"/>
          <w:szCs w:val="22"/>
        </w:rPr>
      </w:pPr>
      <w:r w:rsidRPr="00DE24DE">
        <w:rPr>
          <w:rFonts w:asciiTheme="minorHAnsi" w:hAnsiTheme="minorHAnsi" w:cs="Arial"/>
          <w:sz w:val="22"/>
          <w:szCs w:val="22"/>
        </w:rPr>
        <w:t>Examples of Pa</w:t>
      </w:r>
      <w:r w:rsidR="00CE738B">
        <w:rPr>
          <w:rFonts w:asciiTheme="minorHAnsi" w:hAnsiTheme="minorHAnsi" w:cs="Arial"/>
          <w:sz w:val="22"/>
          <w:szCs w:val="22"/>
        </w:rPr>
        <w:t xml:space="preserve">rticipation activities include </w:t>
      </w:r>
      <w:r w:rsidRPr="00DE24DE">
        <w:rPr>
          <w:rFonts w:asciiTheme="minorHAnsi" w:hAnsiTheme="minorHAnsi" w:cs="Arial"/>
          <w:sz w:val="22"/>
          <w:szCs w:val="22"/>
        </w:rPr>
        <w:t>the following:</w:t>
      </w:r>
    </w:p>
    <w:p w14:paraId="5C7DF328" w14:textId="77777777" w:rsidR="0065321C" w:rsidRDefault="00224A17" w:rsidP="00EC205F">
      <w:pPr>
        <w:numPr>
          <w:ilvl w:val="0"/>
          <w:numId w:val="14"/>
        </w:numPr>
        <w:ind w:left="0" w:hanging="567"/>
        <w:rPr>
          <w:rFonts w:asciiTheme="minorHAnsi" w:hAnsiTheme="minorHAnsi" w:cs="Arial"/>
          <w:sz w:val="22"/>
          <w:szCs w:val="22"/>
        </w:rPr>
      </w:pPr>
      <w:r w:rsidRPr="0065321C">
        <w:rPr>
          <w:rFonts w:asciiTheme="minorHAnsi" w:hAnsiTheme="minorHAnsi" w:cs="Arial"/>
          <w:sz w:val="22"/>
          <w:szCs w:val="22"/>
        </w:rPr>
        <w:t xml:space="preserve">developing and implementing appropriate support services and programs </w:t>
      </w:r>
    </w:p>
    <w:p w14:paraId="66E62C68" w14:textId="77777777" w:rsidR="00224A17" w:rsidRPr="0065321C" w:rsidRDefault="00224A17" w:rsidP="00EC205F">
      <w:pPr>
        <w:numPr>
          <w:ilvl w:val="0"/>
          <w:numId w:val="14"/>
        </w:numPr>
        <w:ind w:left="0" w:hanging="567"/>
        <w:rPr>
          <w:rFonts w:asciiTheme="minorHAnsi" w:hAnsiTheme="minorHAnsi" w:cs="Arial"/>
          <w:sz w:val="22"/>
          <w:szCs w:val="22"/>
        </w:rPr>
      </w:pPr>
      <w:r w:rsidRPr="0065321C">
        <w:rPr>
          <w:rFonts w:asciiTheme="minorHAnsi" w:hAnsiTheme="minorHAnsi" w:cs="Arial"/>
          <w:sz w:val="22"/>
          <w:szCs w:val="22"/>
        </w:rPr>
        <w:t>administering application and selection processes for Commonwealth Scholarships;</w:t>
      </w:r>
    </w:p>
    <w:p w14:paraId="27427AAF" w14:textId="77777777" w:rsidR="00224A17" w:rsidRPr="00DE24DE" w:rsidRDefault="00224A17" w:rsidP="002F057A">
      <w:pPr>
        <w:numPr>
          <w:ilvl w:val="0"/>
          <w:numId w:val="14"/>
        </w:numPr>
        <w:ind w:left="0" w:hanging="567"/>
        <w:rPr>
          <w:rFonts w:asciiTheme="minorHAnsi" w:hAnsiTheme="minorHAnsi" w:cs="Arial"/>
          <w:sz w:val="22"/>
          <w:szCs w:val="22"/>
        </w:rPr>
      </w:pPr>
      <w:r w:rsidRPr="00DE24DE">
        <w:rPr>
          <w:rFonts w:asciiTheme="minorHAnsi" w:hAnsiTheme="minorHAnsi" w:cs="Arial"/>
          <w:sz w:val="22"/>
          <w:szCs w:val="22"/>
        </w:rPr>
        <w:t>offer</w:t>
      </w:r>
      <w:r>
        <w:rPr>
          <w:rFonts w:asciiTheme="minorHAnsi" w:hAnsiTheme="minorHAnsi" w:cs="Arial"/>
          <w:sz w:val="22"/>
          <w:szCs w:val="22"/>
        </w:rPr>
        <w:t>ing</w:t>
      </w:r>
      <w:r w:rsidRPr="00DE24DE">
        <w:rPr>
          <w:rFonts w:asciiTheme="minorHAnsi" w:hAnsiTheme="minorHAnsi" w:cs="Arial"/>
          <w:sz w:val="22"/>
          <w:szCs w:val="22"/>
        </w:rPr>
        <w:t xml:space="preserve"> institutional equity scholarships targeted at low SES students;</w:t>
      </w:r>
    </w:p>
    <w:p w14:paraId="3C694A71" w14:textId="77777777" w:rsidR="00224A17" w:rsidRPr="00DE24DE" w:rsidRDefault="00224A17" w:rsidP="002F057A">
      <w:pPr>
        <w:numPr>
          <w:ilvl w:val="0"/>
          <w:numId w:val="14"/>
        </w:numPr>
        <w:ind w:left="0" w:hanging="567"/>
        <w:rPr>
          <w:rFonts w:asciiTheme="minorHAnsi" w:hAnsiTheme="minorHAnsi" w:cs="Arial"/>
          <w:sz w:val="22"/>
          <w:szCs w:val="22"/>
        </w:rPr>
      </w:pPr>
      <w:r w:rsidRPr="00DE24DE">
        <w:rPr>
          <w:rFonts w:asciiTheme="minorHAnsi" w:hAnsiTheme="minorHAnsi" w:cs="Arial"/>
          <w:sz w:val="22"/>
          <w:szCs w:val="22"/>
        </w:rPr>
        <w:t xml:space="preserve">undertaking research and monitoring the impact and effectiveness of activities aimed at improving the participation of low SES </w:t>
      </w:r>
      <w:r>
        <w:rPr>
          <w:rFonts w:asciiTheme="minorHAnsi" w:hAnsiTheme="minorHAnsi" w:cs="Arial"/>
          <w:sz w:val="22"/>
          <w:szCs w:val="22"/>
        </w:rPr>
        <w:t>students</w:t>
      </w:r>
      <w:r w:rsidRPr="00DE24DE">
        <w:rPr>
          <w:rFonts w:asciiTheme="minorHAnsi" w:hAnsiTheme="minorHAnsi" w:cs="Arial"/>
          <w:sz w:val="22"/>
          <w:szCs w:val="22"/>
        </w:rPr>
        <w:t>, and</w:t>
      </w:r>
    </w:p>
    <w:p w14:paraId="2E5993BD" w14:textId="77777777" w:rsidR="00224A17" w:rsidRDefault="00224A17" w:rsidP="002F057A">
      <w:pPr>
        <w:numPr>
          <w:ilvl w:val="0"/>
          <w:numId w:val="14"/>
        </w:numPr>
        <w:ind w:left="0" w:hanging="567"/>
        <w:rPr>
          <w:rFonts w:asciiTheme="minorHAnsi" w:hAnsiTheme="minorHAnsi" w:cs="Arial"/>
          <w:sz w:val="22"/>
          <w:szCs w:val="22"/>
        </w:rPr>
      </w:pPr>
      <w:proofErr w:type="gramStart"/>
      <w:r w:rsidRPr="00DE24DE">
        <w:rPr>
          <w:rFonts w:asciiTheme="minorHAnsi" w:hAnsiTheme="minorHAnsi" w:cs="Arial"/>
          <w:sz w:val="22"/>
          <w:szCs w:val="22"/>
        </w:rPr>
        <w:t>developing</w:t>
      </w:r>
      <w:proofErr w:type="gramEnd"/>
      <w:r w:rsidRPr="00DE24DE">
        <w:rPr>
          <w:rFonts w:asciiTheme="minorHAnsi" w:hAnsiTheme="minorHAnsi" w:cs="Arial"/>
          <w:sz w:val="22"/>
          <w:szCs w:val="22"/>
        </w:rPr>
        <w:t xml:space="preserve"> and implementing partnership activities for the purpose of encouraging </w:t>
      </w:r>
      <w:r>
        <w:rPr>
          <w:rFonts w:asciiTheme="minorHAnsi" w:hAnsiTheme="minorHAnsi" w:cs="Arial"/>
          <w:sz w:val="22"/>
          <w:szCs w:val="22"/>
        </w:rPr>
        <w:t xml:space="preserve">aspirations and building </w:t>
      </w:r>
      <w:r w:rsidRPr="00DE24DE">
        <w:rPr>
          <w:rFonts w:asciiTheme="minorHAnsi" w:hAnsiTheme="minorHAnsi" w:cs="Arial"/>
          <w:sz w:val="22"/>
          <w:szCs w:val="22"/>
        </w:rPr>
        <w:t xml:space="preserve">capacity </w:t>
      </w:r>
      <w:r>
        <w:rPr>
          <w:rFonts w:asciiTheme="minorHAnsi" w:hAnsiTheme="minorHAnsi" w:cs="Arial"/>
          <w:sz w:val="22"/>
          <w:szCs w:val="22"/>
        </w:rPr>
        <w:t xml:space="preserve">among </w:t>
      </w:r>
      <w:r w:rsidRPr="00DE24DE">
        <w:rPr>
          <w:rFonts w:asciiTheme="minorHAnsi" w:hAnsiTheme="minorHAnsi" w:cs="Arial"/>
          <w:sz w:val="22"/>
          <w:szCs w:val="22"/>
        </w:rPr>
        <w:t>people from low SES backgrounds</w:t>
      </w:r>
      <w:r>
        <w:rPr>
          <w:rFonts w:asciiTheme="minorHAnsi" w:hAnsiTheme="minorHAnsi" w:cs="Arial"/>
          <w:sz w:val="22"/>
          <w:szCs w:val="22"/>
        </w:rPr>
        <w:t>.</w:t>
      </w:r>
    </w:p>
    <w:p w14:paraId="3D858676" w14:textId="77777777" w:rsidR="00224A17" w:rsidRDefault="00224A17" w:rsidP="00224A17">
      <w:pPr>
        <w:ind w:left="-567"/>
        <w:rPr>
          <w:rFonts w:asciiTheme="minorHAnsi" w:hAnsiTheme="minorHAnsi" w:cs="Arial"/>
          <w:b/>
          <w:sz w:val="22"/>
          <w:szCs w:val="22"/>
        </w:rPr>
      </w:pPr>
    </w:p>
    <w:p w14:paraId="46843DAD" w14:textId="77777777" w:rsidR="00224A17" w:rsidRPr="00224A17" w:rsidRDefault="00224A17" w:rsidP="00224A17">
      <w:pPr>
        <w:ind w:left="-567"/>
        <w:rPr>
          <w:rFonts w:asciiTheme="minorHAnsi" w:hAnsiTheme="minorHAnsi" w:cs="Arial"/>
          <w:b/>
          <w:sz w:val="22"/>
          <w:szCs w:val="22"/>
        </w:rPr>
      </w:pPr>
      <w:r w:rsidRPr="00224A17">
        <w:rPr>
          <w:rFonts w:asciiTheme="minorHAnsi" w:hAnsiTheme="minorHAnsi" w:cs="Arial"/>
          <w:b/>
          <w:sz w:val="22"/>
          <w:szCs w:val="22"/>
        </w:rPr>
        <w:t>Partnerships</w:t>
      </w:r>
      <w:r w:rsidR="00157F8B">
        <w:rPr>
          <w:rFonts w:asciiTheme="minorHAnsi" w:hAnsiTheme="minorHAnsi" w:cs="Arial"/>
          <w:b/>
          <w:sz w:val="22"/>
          <w:szCs w:val="22"/>
        </w:rPr>
        <w:t xml:space="preserve"> </w:t>
      </w:r>
    </w:p>
    <w:p w14:paraId="5A3EE366" w14:textId="77777777" w:rsidR="00224A17" w:rsidRDefault="00224A17" w:rsidP="00224A17">
      <w:pPr>
        <w:ind w:left="-567"/>
        <w:rPr>
          <w:rFonts w:asciiTheme="minorHAnsi" w:hAnsiTheme="minorHAnsi" w:cs="Arial"/>
          <w:sz w:val="22"/>
          <w:szCs w:val="22"/>
        </w:rPr>
      </w:pPr>
      <w:r w:rsidRPr="00DE24DE">
        <w:rPr>
          <w:rFonts w:asciiTheme="minorHAnsi" w:hAnsiTheme="minorHAnsi" w:cs="Arial"/>
          <w:sz w:val="22"/>
          <w:szCs w:val="22"/>
        </w:rPr>
        <w:t xml:space="preserve">The objectives of the Partnership Component </w:t>
      </w:r>
      <w:r w:rsidR="00CE738B">
        <w:rPr>
          <w:rFonts w:asciiTheme="minorHAnsi" w:hAnsiTheme="minorHAnsi" w:cs="Arial"/>
          <w:sz w:val="22"/>
          <w:szCs w:val="22"/>
        </w:rPr>
        <w:t>of HEPPP</w:t>
      </w:r>
      <w:r w:rsidR="00EC205F">
        <w:rPr>
          <w:rFonts w:asciiTheme="minorHAnsi" w:hAnsiTheme="minorHAnsi" w:cs="Arial"/>
          <w:sz w:val="22"/>
          <w:szCs w:val="22"/>
        </w:rPr>
        <w:t xml:space="preserve"> </w:t>
      </w:r>
      <w:r w:rsidRPr="00DE24DE">
        <w:rPr>
          <w:rFonts w:asciiTheme="minorHAnsi" w:hAnsiTheme="minorHAnsi" w:cs="Arial"/>
          <w:sz w:val="22"/>
          <w:szCs w:val="22"/>
        </w:rPr>
        <w:t>are to increase the total number of people from low SES backgrounds who access and participate in higher education through effective outreach and related activities with appr</w:t>
      </w:r>
      <w:r w:rsidR="00CE738B">
        <w:rPr>
          <w:rFonts w:asciiTheme="minorHAnsi" w:hAnsiTheme="minorHAnsi" w:cs="Arial"/>
          <w:sz w:val="22"/>
          <w:szCs w:val="22"/>
        </w:rPr>
        <w:t xml:space="preserve">opriate stakeholders including </w:t>
      </w:r>
      <w:r w:rsidR="00103321">
        <w:rPr>
          <w:rFonts w:asciiTheme="minorHAnsi" w:hAnsiTheme="minorHAnsi" w:cs="Arial"/>
          <w:sz w:val="22"/>
          <w:szCs w:val="22"/>
        </w:rPr>
        <w:t>schools, the S</w:t>
      </w:r>
      <w:r w:rsidR="00384F48">
        <w:rPr>
          <w:rFonts w:asciiTheme="minorHAnsi" w:hAnsiTheme="minorHAnsi" w:cs="Arial"/>
          <w:sz w:val="22"/>
          <w:szCs w:val="22"/>
        </w:rPr>
        <w:t>tate g</w:t>
      </w:r>
      <w:r w:rsidR="00103321">
        <w:rPr>
          <w:rFonts w:asciiTheme="minorHAnsi" w:hAnsiTheme="minorHAnsi" w:cs="Arial"/>
          <w:sz w:val="22"/>
          <w:szCs w:val="22"/>
        </w:rPr>
        <w:t>overnment</w:t>
      </w:r>
      <w:r w:rsidRPr="00DE24DE">
        <w:rPr>
          <w:rFonts w:asciiTheme="minorHAnsi" w:hAnsiTheme="minorHAnsi" w:cs="Arial"/>
          <w:sz w:val="22"/>
          <w:szCs w:val="22"/>
        </w:rPr>
        <w:t xml:space="preserve">, </w:t>
      </w:r>
      <w:r w:rsidR="00F903D9" w:rsidRPr="00DE24DE">
        <w:rPr>
          <w:rFonts w:asciiTheme="minorHAnsi" w:hAnsiTheme="minorHAnsi" w:cs="Arial"/>
          <w:sz w:val="22"/>
          <w:szCs w:val="22"/>
        </w:rPr>
        <w:t>V</w:t>
      </w:r>
      <w:r w:rsidR="00F903D9">
        <w:rPr>
          <w:rFonts w:asciiTheme="minorHAnsi" w:hAnsiTheme="minorHAnsi" w:cs="Arial"/>
          <w:sz w:val="22"/>
          <w:szCs w:val="22"/>
        </w:rPr>
        <w:t>ocational Education</w:t>
      </w:r>
      <w:r w:rsidR="00913805">
        <w:rPr>
          <w:rFonts w:asciiTheme="minorHAnsi" w:hAnsiTheme="minorHAnsi" w:cs="Arial"/>
          <w:sz w:val="22"/>
          <w:szCs w:val="22"/>
        </w:rPr>
        <w:t xml:space="preserve"> and </w:t>
      </w:r>
      <w:r w:rsidRPr="00DE24DE">
        <w:rPr>
          <w:rFonts w:asciiTheme="minorHAnsi" w:hAnsiTheme="minorHAnsi" w:cs="Arial"/>
          <w:sz w:val="22"/>
          <w:szCs w:val="22"/>
        </w:rPr>
        <w:t>T</w:t>
      </w:r>
      <w:r w:rsidR="00913805">
        <w:rPr>
          <w:rFonts w:asciiTheme="minorHAnsi" w:hAnsiTheme="minorHAnsi" w:cs="Arial"/>
          <w:sz w:val="22"/>
          <w:szCs w:val="22"/>
        </w:rPr>
        <w:t>raining</w:t>
      </w:r>
      <w:r w:rsidRPr="00DE24DE">
        <w:rPr>
          <w:rFonts w:asciiTheme="minorHAnsi" w:hAnsiTheme="minorHAnsi" w:cs="Arial"/>
          <w:sz w:val="22"/>
          <w:szCs w:val="22"/>
        </w:rPr>
        <w:t xml:space="preserve"> providers and community groups. </w:t>
      </w:r>
    </w:p>
    <w:p w14:paraId="39A699D2" w14:textId="77777777" w:rsidR="00224A17" w:rsidRDefault="00224A17" w:rsidP="00224A17">
      <w:pPr>
        <w:ind w:left="-567"/>
        <w:rPr>
          <w:rFonts w:asciiTheme="minorHAnsi" w:hAnsiTheme="minorHAnsi" w:cs="Arial"/>
          <w:sz w:val="22"/>
          <w:szCs w:val="22"/>
        </w:rPr>
      </w:pPr>
    </w:p>
    <w:p w14:paraId="4767D7FE" w14:textId="77777777" w:rsidR="00224A17" w:rsidRPr="00DE24DE" w:rsidRDefault="00224A17" w:rsidP="00224A17">
      <w:pPr>
        <w:ind w:left="-567"/>
        <w:rPr>
          <w:rFonts w:asciiTheme="minorHAnsi" w:hAnsiTheme="minorHAnsi" w:cs="Arial"/>
          <w:sz w:val="22"/>
          <w:szCs w:val="22"/>
        </w:rPr>
      </w:pPr>
      <w:r w:rsidRPr="00DE24DE">
        <w:rPr>
          <w:rFonts w:asciiTheme="minorHAnsi" w:hAnsiTheme="minorHAnsi" w:cs="Arial"/>
          <w:sz w:val="22"/>
          <w:szCs w:val="22"/>
        </w:rPr>
        <w:t>Partnership activities are intended to</w:t>
      </w:r>
      <w:r>
        <w:rPr>
          <w:rFonts w:asciiTheme="minorHAnsi" w:hAnsiTheme="minorHAnsi" w:cs="Arial"/>
          <w:sz w:val="22"/>
          <w:szCs w:val="22"/>
        </w:rPr>
        <w:t xml:space="preserve"> c</w:t>
      </w:r>
      <w:r w:rsidRPr="00DE24DE">
        <w:rPr>
          <w:rFonts w:asciiTheme="minorHAnsi" w:hAnsiTheme="minorHAnsi" w:cs="Arial"/>
          <w:sz w:val="22"/>
          <w:szCs w:val="22"/>
        </w:rPr>
        <w:t>oncentrate resources to most effectively target low SES communities where aspirations to enter higher education are low and where matriculation to universities is poor.</w:t>
      </w:r>
      <w:r w:rsidRPr="00914537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 There is a particular </w:t>
      </w:r>
      <w:r w:rsidRPr="00DE24DE">
        <w:rPr>
          <w:rFonts w:asciiTheme="minorHAnsi" w:hAnsiTheme="minorHAnsi" w:cs="Arial"/>
          <w:sz w:val="22"/>
          <w:szCs w:val="22"/>
        </w:rPr>
        <w:t>focus on the long-term process of building awareness, aspiration and achievement by engaging with people from a low SES background early in their pre-tertiary education years.</w:t>
      </w:r>
    </w:p>
    <w:p w14:paraId="75D608C8" w14:textId="77777777" w:rsidR="00224A17" w:rsidRPr="00DE24DE" w:rsidRDefault="00224A17" w:rsidP="00224A17">
      <w:pPr>
        <w:rPr>
          <w:rFonts w:asciiTheme="minorHAnsi" w:hAnsiTheme="minorHAnsi" w:cs="Arial"/>
          <w:sz w:val="22"/>
          <w:szCs w:val="22"/>
        </w:rPr>
      </w:pPr>
    </w:p>
    <w:p w14:paraId="2F1BD4DF" w14:textId="77777777" w:rsidR="00224A17" w:rsidRPr="00DE24DE" w:rsidRDefault="00224A17" w:rsidP="002F057A">
      <w:pPr>
        <w:ind w:hanging="567"/>
        <w:rPr>
          <w:rFonts w:asciiTheme="minorHAnsi" w:hAnsiTheme="minorHAnsi" w:cs="Arial"/>
          <w:sz w:val="22"/>
          <w:szCs w:val="22"/>
        </w:rPr>
      </w:pPr>
      <w:r w:rsidRPr="00DE24DE">
        <w:rPr>
          <w:rFonts w:asciiTheme="minorHAnsi" w:hAnsiTheme="minorHAnsi" w:cs="Arial"/>
          <w:sz w:val="22"/>
          <w:szCs w:val="22"/>
        </w:rPr>
        <w:t>Partnership activities may:</w:t>
      </w:r>
    </w:p>
    <w:p w14:paraId="59C23E5C" w14:textId="77777777" w:rsidR="00224A17" w:rsidRPr="00DE24DE" w:rsidRDefault="00224A17" w:rsidP="002F057A">
      <w:pPr>
        <w:numPr>
          <w:ilvl w:val="0"/>
          <w:numId w:val="16"/>
        </w:numPr>
        <w:ind w:left="0" w:hanging="567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assist in improving </w:t>
      </w:r>
      <w:r w:rsidRPr="00DE24DE">
        <w:rPr>
          <w:rFonts w:asciiTheme="minorHAnsi" w:hAnsiTheme="minorHAnsi" w:cs="Arial"/>
          <w:sz w:val="22"/>
          <w:szCs w:val="22"/>
        </w:rPr>
        <w:t xml:space="preserve">understanding and awareness of higher education as a viable post-school option; </w:t>
      </w:r>
    </w:p>
    <w:p w14:paraId="0BDF36FA" w14:textId="77777777" w:rsidR="00224A17" w:rsidRPr="00DE24DE" w:rsidRDefault="00224A17" w:rsidP="002F057A">
      <w:pPr>
        <w:numPr>
          <w:ilvl w:val="0"/>
          <w:numId w:val="16"/>
        </w:numPr>
        <w:ind w:left="0" w:hanging="567"/>
        <w:rPr>
          <w:rFonts w:asciiTheme="minorHAnsi" w:hAnsiTheme="minorHAnsi" w:cs="Arial"/>
          <w:sz w:val="22"/>
          <w:szCs w:val="22"/>
        </w:rPr>
      </w:pPr>
      <w:r w:rsidRPr="00DE24DE">
        <w:rPr>
          <w:rFonts w:asciiTheme="minorHAnsi" w:hAnsiTheme="minorHAnsi" w:cs="Arial"/>
          <w:sz w:val="22"/>
          <w:szCs w:val="22"/>
        </w:rPr>
        <w:t>assist in pre-tertiary achievement, either at school or via an alternative pathway, to enable consideration for access to higher education;</w:t>
      </w:r>
    </w:p>
    <w:p w14:paraId="0D4CC959" w14:textId="77777777" w:rsidR="00224A17" w:rsidRPr="00DE24DE" w:rsidRDefault="00224A17" w:rsidP="002F057A">
      <w:pPr>
        <w:numPr>
          <w:ilvl w:val="0"/>
          <w:numId w:val="16"/>
        </w:numPr>
        <w:ind w:left="0" w:hanging="567"/>
        <w:rPr>
          <w:rFonts w:asciiTheme="minorHAnsi" w:hAnsiTheme="minorHAnsi" w:cs="Arial"/>
          <w:sz w:val="22"/>
          <w:szCs w:val="22"/>
        </w:rPr>
      </w:pPr>
      <w:r w:rsidRPr="00DE24DE">
        <w:rPr>
          <w:rFonts w:asciiTheme="minorHAnsi" w:hAnsiTheme="minorHAnsi" w:cs="Arial"/>
          <w:sz w:val="22"/>
          <w:szCs w:val="22"/>
        </w:rPr>
        <w:t xml:space="preserve">encourage an increase in the proportion of </w:t>
      </w:r>
      <w:r w:rsidR="00CE738B">
        <w:rPr>
          <w:rFonts w:asciiTheme="minorHAnsi" w:hAnsiTheme="minorHAnsi" w:cs="Arial"/>
          <w:sz w:val="22"/>
          <w:szCs w:val="22"/>
        </w:rPr>
        <w:t>people from low SES backgrounds</w:t>
      </w:r>
      <w:r w:rsidRPr="00DE24DE">
        <w:rPr>
          <w:rFonts w:asciiTheme="minorHAnsi" w:hAnsiTheme="minorHAnsi" w:cs="Arial"/>
          <w:sz w:val="22"/>
          <w:szCs w:val="22"/>
        </w:rPr>
        <w:t xml:space="preserve"> who apply for attendance at a </w:t>
      </w:r>
      <w:r w:rsidR="000B407C">
        <w:rPr>
          <w:rFonts w:asciiTheme="minorHAnsi" w:hAnsiTheme="minorHAnsi" w:cs="Arial"/>
          <w:iCs/>
          <w:sz w:val="22"/>
          <w:szCs w:val="22"/>
        </w:rPr>
        <w:t>University</w:t>
      </w:r>
      <w:r w:rsidRPr="00DE24DE">
        <w:rPr>
          <w:rFonts w:asciiTheme="minorHAnsi" w:hAnsiTheme="minorHAnsi" w:cs="Arial"/>
          <w:sz w:val="22"/>
          <w:szCs w:val="22"/>
        </w:rPr>
        <w:t>; and</w:t>
      </w:r>
    </w:p>
    <w:p w14:paraId="55D51B78" w14:textId="77777777" w:rsidR="00224A17" w:rsidRDefault="00224A17" w:rsidP="002F057A">
      <w:pPr>
        <w:numPr>
          <w:ilvl w:val="0"/>
          <w:numId w:val="16"/>
        </w:numPr>
        <w:ind w:left="0" w:hanging="567"/>
        <w:rPr>
          <w:rFonts w:asciiTheme="minorHAnsi" w:hAnsiTheme="minorHAnsi" w:cs="Arial"/>
          <w:sz w:val="22"/>
          <w:szCs w:val="22"/>
        </w:rPr>
      </w:pPr>
      <w:proofErr w:type="gramStart"/>
      <w:r w:rsidRPr="00DE24DE">
        <w:rPr>
          <w:rFonts w:asciiTheme="minorHAnsi" w:hAnsiTheme="minorHAnsi" w:cs="Arial"/>
          <w:sz w:val="22"/>
          <w:szCs w:val="22"/>
        </w:rPr>
        <w:t>support</w:t>
      </w:r>
      <w:proofErr w:type="gramEnd"/>
      <w:r w:rsidRPr="00DE24DE">
        <w:rPr>
          <w:rFonts w:asciiTheme="minorHAnsi" w:hAnsiTheme="minorHAnsi" w:cs="Arial"/>
          <w:sz w:val="22"/>
          <w:szCs w:val="22"/>
        </w:rPr>
        <w:t xml:space="preserve"> </w:t>
      </w:r>
      <w:r w:rsidR="00CE738B">
        <w:rPr>
          <w:rFonts w:asciiTheme="minorHAnsi" w:hAnsiTheme="minorHAnsi" w:cs="Arial"/>
          <w:sz w:val="22"/>
          <w:szCs w:val="22"/>
        </w:rPr>
        <w:t xml:space="preserve">people from low SES </w:t>
      </w:r>
      <w:r w:rsidR="00F903D9">
        <w:rPr>
          <w:rFonts w:asciiTheme="minorHAnsi" w:hAnsiTheme="minorHAnsi" w:cs="Arial"/>
          <w:sz w:val="22"/>
          <w:szCs w:val="22"/>
        </w:rPr>
        <w:t xml:space="preserve">backgrounds </w:t>
      </w:r>
      <w:r w:rsidR="00F903D9" w:rsidRPr="00DE24DE">
        <w:rPr>
          <w:rFonts w:asciiTheme="minorHAnsi" w:hAnsiTheme="minorHAnsi" w:cs="Arial"/>
          <w:sz w:val="22"/>
          <w:szCs w:val="22"/>
        </w:rPr>
        <w:t>in</w:t>
      </w:r>
      <w:r w:rsidRPr="00DE24DE">
        <w:rPr>
          <w:rFonts w:asciiTheme="minorHAnsi" w:hAnsiTheme="minorHAnsi" w:cs="Arial"/>
          <w:sz w:val="22"/>
          <w:szCs w:val="22"/>
        </w:rPr>
        <w:t xml:space="preserve"> linking with higher education </w:t>
      </w:r>
      <w:r w:rsidRPr="00CE738B">
        <w:rPr>
          <w:rFonts w:asciiTheme="minorHAnsi" w:hAnsiTheme="minorHAnsi" w:cs="Arial"/>
          <w:iCs/>
          <w:sz w:val="22"/>
          <w:szCs w:val="22"/>
        </w:rPr>
        <w:t>providers</w:t>
      </w:r>
      <w:r w:rsidRPr="00DE24DE">
        <w:rPr>
          <w:rFonts w:asciiTheme="minorHAnsi" w:hAnsiTheme="minorHAnsi" w:cs="Arial"/>
          <w:sz w:val="22"/>
          <w:szCs w:val="22"/>
        </w:rPr>
        <w:t>.</w:t>
      </w:r>
    </w:p>
    <w:p w14:paraId="6B8BB703" w14:textId="77777777" w:rsidR="00224A17" w:rsidRDefault="00224A17" w:rsidP="00224A17">
      <w:pPr>
        <w:ind w:left="426"/>
        <w:rPr>
          <w:rFonts w:asciiTheme="minorHAnsi" w:hAnsiTheme="minorHAnsi" w:cs="Arial"/>
          <w:sz w:val="22"/>
          <w:szCs w:val="22"/>
        </w:rPr>
      </w:pPr>
    </w:p>
    <w:p w14:paraId="69F8E7EC" w14:textId="77777777" w:rsidR="00404140" w:rsidRPr="00B656AA" w:rsidRDefault="00404140" w:rsidP="00202D3B">
      <w:pPr>
        <w:ind w:left="-567" w:right="-285"/>
        <w:rPr>
          <w:rFonts w:asciiTheme="minorHAnsi" w:hAnsiTheme="minorHAnsi" w:cs="Arial"/>
          <w:sz w:val="22"/>
          <w:szCs w:val="22"/>
        </w:rPr>
      </w:pPr>
    </w:p>
    <w:p w14:paraId="0CE63010" w14:textId="77777777" w:rsidR="00404140" w:rsidRDefault="00404140" w:rsidP="00404140">
      <w:pPr>
        <w:ind w:left="-567" w:right="-285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Funding beyond 201</w:t>
      </w:r>
      <w:r w:rsidR="00E84EEB">
        <w:rPr>
          <w:rFonts w:asciiTheme="minorHAnsi" w:hAnsiTheme="minorHAnsi" w:cs="Arial"/>
          <w:b/>
          <w:sz w:val="22"/>
          <w:szCs w:val="22"/>
        </w:rPr>
        <w:t>5</w:t>
      </w:r>
      <w:r>
        <w:rPr>
          <w:rFonts w:asciiTheme="minorHAnsi" w:hAnsiTheme="minorHAnsi" w:cs="Arial"/>
          <w:b/>
          <w:sz w:val="22"/>
          <w:szCs w:val="22"/>
        </w:rPr>
        <w:t xml:space="preserve"> cannot be guaranteed even for projects which have a timescale of more than twelve months.</w:t>
      </w:r>
    </w:p>
    <w:p w14:paraId="75CE9BCB" w14:textId="77777777" w:rsidR="0092501E" w:rsidRDefault="0092501E" w:rsidP="000C5C9C">
      <w:pPr>
        <w:ind w:left="-567"/>
        <w:rPr>
          <w:rFonts w:asciiTheme="minorHAnsi" w:hAnsiTheme="minorHAnsi" w:cs="Arial"/>
          <w:b/>
          <w:sz w:val="22"/>
          <w:szCs w:val="22"/>
        </w:rPr>
      </w:pPr>
    </w:p>
    <w:p w14:paraId="2602EC45" w14:textId="77777777" w:rsidR="00B059F0" w:rsidRDefault="00B059F0" w:rsidP="00B059F0">
      <w:pPr>
        <w:ind w:left="-567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Submitting Expressions of Interest</w:t>
      </w:r>
    </w:p>
    <w:p w14:paraId="73134DB3" w14:textId="1314133A" w:rsidR="00B059F0" w:rsidRDefault="00B059F0" w:rsidP="00B059F0">
      <w:pPr>
        <w:ind w:left="-567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Expressions of Interest are invited for projects which meet the above criteria.  Applications should be</w:t>
      </w:r>
      <w:r>
        <w:rPr>
          <w:rFonts w:asciiTheme="minorHAnsi" w:hAnsiTheme="minorHAnsi" w:cs="Arial"/>
          <w:b/>
          <w:sz w:val="22"/>
          <w:szCs w:val="22"/>
        </w:rPr>
        <w:t xml:space="preserve"> no more than two pages in length </w:t>
      </w:r>
      <w:r>
        <w:rPr>
          <w:rFonts w:asciiTheme="minorHAnsi" w:hAnsiTheme="minorHAnsi" w:cs="Arial"/>
          <w:sz w:val="22"/>
          <w:szCs w:val="22"/>
        </w:rPr>
        <w:t>and should be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submitted by 5pm on </w:t>
      </w:r>
      <w:r>
        <w:rPr>
          <w:rFonts w:asciiTheme="minorHAnsi" w:hAnsiTheme="minorHAnsi" w:cs="Arial"/>
          <w:b/>
          <w:sz w:val="22"/>
          <w:szCs w:val="22"/>
        </w:rPr>
        <w:t>Monday 2</w:t>
      </w:r>
      <w:r w:rsidRPr="004A3886">
        <w:rPr>
          <w:rFonts w:asciiTheme="minorHAnsi" w:hAnsiTheme="minorHAnsi" w:cs="Arial"/>
          <w:b/>
          <w:sz w:val="22"/>
          <w:szCs w:val="22"/>
          <w:vertAlign w:val="superscript"/>
        </w:rPr>
        <w:t>nd</w:t>
      </w:r>
      <w:r>
        <w:rPr>
          <w:rFonts w:asciiTheme="minorHAnsi" w:hAnsiTheme="minorHAnsi" w:cs="Arial"/>
          <w:b/>
          <w:sz w:val="22"/>
          <w:szCs w:val="22"/>
        </w:rPr>
        <w:t xml:space="preserve"> March 2015</w:t>
      </w:r>
      <w:r>
        <w:rPr>
          <w:rFonts w:asciiTheme="minorHAnsi" w:hAnsiTheme="minorHAnsi" w:cs="Arial"/>
          <w:sz w:val="22"/>
          <w:szCs w:val="22"/>
        </w:rPr>
        <w:t xml:space="preserve"> to </w:t>
      </w:r>
      <w:hyperlink r:id="rId10" w:history="1">
        <w:r>
          <w:rPr>
            <w:rStyle w:val="Hyperlink"/>
            <w:rFonts w:asciiTheme="minorHAnsi" w:hAnsiTheme="minorHAnsi" w:cs="Arial"/>
            <w:sz w:val="22"/>
            <w:szCs w:val="22"/>
          </w:rPr>
          <w:t>PQESCSupport@ecu.edu.au</w:t>
        </w:r>
      </w:hyperlink>
      <w:r>
        <w:rPr>
          <w:rFonts w:asciiTheme="minorHAnsi" w:hAnsiTheme="minorHAnsi" w:cs="Arial"/>
          <w:sz w:val="22"/>
          <w:szCs w:val="22"/>
        </w:rPr>
        <w:t xml:space="preserve"> using the form </w:t>
      </w:r>
      <w:r w:rsidRPr="00B059F0">
        <w:rPr>
          <w:rFonts w:asciiTheme="minorHAnsi" w:hAnsiTheme="minorHAnsi" w:cs="Arial"/>
          <w:i/>
          <w:sz w:val="22"/>
          <w:szCs w:val="22"/>
        </w:rPr>
        <w:t>HEPPP EOI template 2015</w:t>
      </w:r>
      <w:r>
        <w:rPr>
          <w:rFonts w:asciiTheme="minorHAnsi" w:hAnsiTheme="minorHAnsi" w:cs="Arial"/>
          <w:i/>
          <w:sz w:val="22"/>
          <w:szCs w:val="22"/>
        </w:rPr>
        <w:t>.</w:t>
      </w:r>
    </w:p>
    <w:p w14:paraId="4B415FBE" w14:textId="77777777" w:rsidR="00B059F0" w:rsidRDefault="00B059F0" w:rsidP="000C5C9C">
      <w:pPr>
        <w:ind w:left="-567"/>
        <w:rPr>
          <w:rFonts w:asciiTheme="minorHAnsi" w:hAnsiTheme="minorHAnsi" w:cs="Arial"/>
          <w:b/>
          <w:sz w:val="22"/>
          <w:szCs w:val="22"/>
        </w:rPr>
      </w:pPr>
    </w:p>
    <w:p w14:paraId="123BAD9D" w14:textId="1CF5761B" w:rsidR="00B059F0" w:rsidRDefault="005F1EDB" w:rsidP="000C5C9C">
      <w:pPr>
        <w:ind w:left="-567"/>
        <w:rPr>
          <w:rFonts w:asciiTheme="minorHAnsi" w:hAnsiTheme="minorHAnsi" w:cs="Arial"/>
          <w:b/>
          <w:sz w:val="22"/>
          <w:szCs w:val="22"/>
        </w:rPr>
      </w:pPr>
      <w:r w:rsidRPr="001A17DF">
        <w:rPr>
          <w:rFonts w:asciiTheme="minorHAnsi" w:hAnsiTheme="minorHAnsi" w:cs="Arial"/>
          <w:b/>
          <w:sz w:val="22"/>
          <w:szCs w:val="22"/>
        </w:rPr>
        <w:t>Applications should be approved by the relevant Executive Dean</w:t>
      </w:r>
      <w:r w:rsidR="00154E62">
        <w:rPr>
          <w:rFonts w:asciiTheme="minorHAnsi" w:hAnsiTheme="minorHAnsi" w:cs="Arial"/>
          <w:b/>
          <w:sz w:val="22"/>
          <w:szCs w:val="22"/>
        </w:rPr>
        <w:t xml:space="preserve"> and Head of School or</w:t>
      </w:r>
      <w:bookmarkStart w:id="0" w:name="_GoBack"/>
      <w:bookmarkEnd w:id="0"/>
      <w:r w:rsidR="00154E62">
        <w:rPr>
          <w:rFonts w:asciiTheme="minorHAnsi" w:hAnsiTheme="minorHAnsi" w:cs="Arial"/>
          <w:b/>
          <w:sz w:val="22"/>
          <w:szCs w:val="22"/>
        </w:rPr>
        <w:t xml:space="preserve"> Centre </w:t>
      </w:r>
      <w:r w:rsidR="009A577C" w:rsidRPr="001A17DF">
        <w:rPr>
          <w:rFonts w:asciiTheme="minorHAnsi" w:hAnsiTheme="minorHAnsi" w:cs="Arial"/>
          <w:b/>
          <w:sz w:val="22"/>
          <w:szCs w:val="22"/>
        </w:rPr>
        <w:t>Director</w:t>
      </w:r>
      <w:r w:rsidRPr="001A17DF">
        <w:rPr>
          <w:rFonts w:asciiTheme="minorHAnsi" w:hAnsiTheme="minorHAnsi" w:cs="Arial"/>
          <w:b/>
          <w:sz w:val="22"/>
          <w:szCs w:val="22"/>
        </w:rPr>
        <w:t xml:space="preserve"> and </w:t>
      </w:r>
      <w:r w:rsidR="00154E62">
        <w:rPr>
          <w:rFonts w:asciiTheme="minorHAnsi" w:hAnsiTheme="minorHAnsi" w:cs="Arial"/>
          <w:b/>
          <w:sz w:val="22"/>
          <w:szCs w:val="22"/>
        </w:rPr>
        <w:t>Manager</w:t>
      </w:r>
      <w:r w:rsidRPr="001A17DF">
        <w:rPr>
          <w:rFonts w:asciiTheme="minorHAnsi" w:hAnsiTheme="minorHAnsi" w:cs="Arial"/>
          <w:b/>
          <w:sz w:val="22"/>
          <w:szCs w:val="22"/>
        </w:rPr>
        <w:t>.</w:t>
      </w:r>
      <w:r w:rsidR="00CD7A16" w:rsidRPr="001A17DF">
        <w:rPr>
          <w:rFonts w:asciiTheme="minorHAnsi" w:hAnsiTheme="minorHAnsi" w:cs="Arial"/>
          <w:b/>
          <w:sz w:val="22"/>
          <w:szCs w:val="22"/>
        </w:rPr>
        <w:t xml:space="preserve">  Faculty Finance Managers or Centre Business Managers should be consulted when preparing project budgets.</w:t>
      </w:r>
      <w:r w:rsidRPr="001A17DF">
        <w:rPr>
          <w:rFonts w:asciiTheme="minorHAnsi" w:hAnsiTheme="minorHAnsi" w:cs="Arial"/>
          <w:b/>
          <w:sz w:val="22"/>
          <w:szCs w:val="22"/>
        </w:rPr>
        <w:br/>
      </w:r>
    </w:p>
    <w:p w14:paraId="6BBEB74E" w14:textId="77777777" w:rsidR="00B059F0" w:rsidRDefault="00B059F0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br w:type="page"/>
      </w:r>
    </w:p>
    <w:p w14:paraId="09E7BA15" w14:textId="77777777" w:rsidR="005F1EDB" w:rsidRPr="001A17DF" w:rsidRDefault="005F1EDB" w:rsidP="000C5C9C">
      <w:pPr>
        <w:ind w:left="-567"/>
        <w:rPr>
          <w:rFonts w:asciiTheme="minorHAnsi" w:hAnsiTheme="minorHAnsi" w:cs="Arial"/>
          <w:b/>
          <w:sz w:val="22"/>
          <w:szCs w:val="22"/>
        </w:rPr>
      </w:pPr>
    </w:p>
    <w:p w14:paraId="1680250C" w14:textId="77777777" w:rsidR="00656CBD" w:rsidRPr="00B656AA" w:rsidRDefault="00656CBD" w:rsidP="00656CBD">
      <w:pPr>
        <w:ind w:left="-567"/>
        <w:rPr>
          <w:rFonts w:asciiTheme="minorHAnsi" w:hAnsiTheme="minorHAnsi" w:cs="Arial"/>
          <w:b/>
          <w:sz w:val="22"/>
          <w:szCs w:val="22"/>
        </w:rPr>
      </w:pPr>
      <w:r w:rsidRPr="00B656AA">
        <w:rPr>
          <w:rFonts w:asciiTheme="minorHAnsi" w:hAnsiTheme="minorHAnsi" w:cs="Arial"/>
          <w:b/>
          <w:sz w:val="22"/>
          <w:szCs w:val="22"/>
        </w:rPr>
        <w:t>Proposal Evaluation</w:t>
      </w:r>
    </w:p>
    <w:p w14:paraId="4D19FC00" w14:textId="77777777" w:rsidR="00656CBD" w:rsidRPr="00B656AA" w:rsidRDefault="00680670" w:rsidP="00656CBD">
      <w:pPr>
        <w:ind w:left="-567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 panel consisting of three members of the Senior Leadership team</w:t>
      </w:r>
      <w:r w:rsidR="00656CBD">
        <w:rPr>
          <w:rFonts w:asciiTheme="minorHAnsi" w:hAnsiTheme="minorHAnsi" w:cs="Arial"/>
          <w:sz w:val="22"/>
          <w:szCs w:val="22"/>
        </w:rPr>
        <w:t xml:space="preserve"> </w:t>
      </w:r>
      <w:r w:rsidR="00656CBD" w:rsidRPr="00B656AA">
        <w:rPr>
          <w:rFonts w:asciiTheme="minorHAnsi" w:hAnsiTheme="minorHAnsi" w:cs="Arial"/>
          <w:sz w:val="22"/>
          <w:szCs w:val="22"/>
        </w:rPr>
        <w:t>will consider projects for funding under HEPPP where the project activities:</w:t>
      </w:r>
    </w:p>
    <w:p w14:paraId="78E56024" w14:textId="77777777" w:rsidR="00656CBD" w:rsidRDefault="00656CBD" w:rsidP="00656CBD">
      <w:pPr>
        <w:numPr>
          <w:ilvl w:val="0"/>
          <w:numId w:val="20"/>
        </w:numPr>
        <w:ind w:left="0" w:hanging="567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meet HEPPP guidelines;</w:t>
      </w:r>
    </w:p>
    <w:p w14:paraId="12A6449C" w14:textId="77777777" w:rsidR="00656CBD" w:rsidRPr="00B656AA" w:rsidRDefault="00656CBD" w:rsidP="00656CBD">
      <w:pPr>
        <w:numPr>
          <w:ilvl w:val="0"/>
          <w:numId w:val="20"/>
        </w:numPr>
        <w:ind w:left="0" w:hanging="567"/>
        <w:rPr>
          <w:rFonts w:asciiTheme="minorHAnsi" w:hAnsiTheme="minorHAnsi" w:cs="Arial"/>
          <w:sz w:val="22"/>
          <w:szCs w:val="22"/>
        </w:rPr>
      </w:pPr>
      <w:r w:rsidRPr="00B656AA">
        <w:rPr>
          <w:rFonts w:asciiTheme="minorHAnsi" w:hAnsiTheme="minorHAnsi" w:cs="Arial"/>
          <w:sz w:val="22"/>
          <w:szCs w:val="22"/>
        </w:rPr>
        <w:t>target low SES cohorts in locations of a high priority for ECU;</w:t>
      </w:r>
    </w:p>
    <w:p w14:paraId="0FA2CE25" w14:textId="77777777" w:rsidR="00656CBD" w:rsidRDefault="00656CBD" w:rsidP="00656CBD">
      <w:pPr>
        <w:pStyle w:val="ListParagraph"/>
        <w:numPr>
          <w:ilvl w:val="0"/>
          <w:numId w:val="20"/>
        </w:numPr>
        <w:ind w:left="0" w:hanging="567"/>
        <w:rPr>
          <w:rFonts w:asciiTheme="minorHAnsi" w:hAnsiTheme="minorHAnsi" w:cs="Arial"/>
          <w:sz w:val="22"/>
          <w:szCs w:val="22"/>
        </w:rPr>
      </w:pPr>
      <w:proofErr w:type="gramStart"/>
      <w:r w:rsidRPr="00B656AA">
        <w:rPr>
          <w:rFonts w:asciiTheme="minorHAnsi" w:hAnsiTheme="minorHAnsi" w:cs="Arial"/>
          <w:sz w:val="22"/>
          <w:szCs w:val="22"/>
        </w:rPr>
        <w:t>align</w:t>
      </w:r>
      <w:proofErr w:type="gramEnd"/>
      <w:r w:rsidRPr="00B656AA">
        <w:rPr>
          <w:rFonts w:asciiTheme="minorHAnsi" w:hAnsiTheme="minorHAnsi" w:cs="Arial"/>
          <w:sz w:val="22"/>
          <w:szCs w:val="22"/>
        </w:rPr>
        <w:t xml:space="preserve"> to the strategic priorities of ‘ECU: Engaging Minds; Engaging Communities. Towards 2020’. (</w:t>
      </w:r>
      <w:hyperlink r:id="rId11" w:history="1">
        <w:r w:rsidRPr="00B656AA">
          <w:rPr>
            <w:rStyle w:val="Hyperlink"/>
            <w:rFonts w:asciiTheme="minorHAnsi" w:hAnsiTheme="minorHAnsi" w:cs="Arial"/>
            <w:sz w:val="22"/>
            <w:szCs w:val="22"/>
          </w:rPr>
          <w:t>http://www.ecu.edu.au/GPPS/ppas/strategic_plan.html</w:t>
        </w:r>
      </w:hyperlink>
      <w:r w:rsidRPr="00B656AA">
        <w:rPr>
          <w:rFonts w:asciiTheme="minorHAnsi" w:hAnsiTheme="minorHAnsi" w:cs="Arial"/>
          <w:sz w:val="22"/>
          <w:szCs w:val="22"/>
        </w:rPr>
        <w:t>)</w:t>
      </w:r>
      <w:r>
        <w:rPr>
          <w:rFonts w:asciiTheme="minorHAnsi" w:hAnsiTheme="minorHAnsi" w:cs="Arial"/>
          <w:sz w:val="22"/>
          <w:szCs w:val="22"/>
        </w:rPr>
        <w:t>; and</w:t>
      </w:r>
    </w:p>
    <w:p w14:paraId="73CB2121" w14:textId="1744EC21" w:rsidR="00656CBD" w:rsidRPr="00B656AA" w:rsidRDefault="00656CBD" w:rsidP="00656CBD">
      <w:pPr>
        <w:pStyle w:val="ListParagraph"/>
        <w:numPr>
          <w:ilvl w:val="0"/>
          <w:numId w:val="20"/>
        </w:numPr>
        <w:ind w:left="0" w:hanging="567"/>
        <w:rPr>
          <w:rFonts w:asciiTheme="minorHAnsi" w:hAnsiTheme="minorHAnsi" w:cs="Arial"/>
          <w:sz w:val="22"/>
          <w:szCs w:val="22"/>
        </w:rPr>
      </w:pPr>
      <w:proofErr w:type="gramStart"/>
      <w:r>
        <w:rPr>
          <w:rFonts w:asciiTheme="minorHAnsi" w:hAnsiTheme="minorHAnsi" w:cs="Arial"/>
          <w:sz w:val="22"/>
          <w:szCs w:val="22"/>
        </w:rPr>
        <w:t>align</w:t>
      </w:r>
      <w:proofErr w:type="gramEnd"/>
      <w:r>
        <w:rPr>
          <w:rFonts w:asciiTheme="minorHAnsi" w:hAnsiTheme="minorHAnsi" w:cs="Arial"/>
          <w:sz w:val="22"/>
          <w:szCs w:val="22"/>
        </w:rPr>
        <w:t xml:space="preserve"> with other current or planned ECU activities.</w:t>
      </w:r>
    </w:p>
    <w:p w14:paraId="52C2D7F6" w14:textId="77777777" w:rsidR="00656CBD" w:rsidRPr="00B656AA" w:rsidRDefault="00656CBD" w:rsidP="00656CBD">
      <w:pPr>
        <w:ind w:left="-567"/>
        <w:rPr>
          <w:rFonts w:asciiTheme="minorHAnsi" w:hAnsiTheme="minorHAnsi" w:cs="Arial"/>
          <w:i/>
          <w:sz w:val="22"/>
          <w:szCs w:val="22"/>
        </w:rPr>
      </w:pPr>
    </w:p>
    <w:p w14:paraId="17E3E4A4" w14:textId="4A237CF6" w:rsidR="00656CBD" w:rsidRPr="00B656AA" w:rsidRDefault="00154E62" w:rsidP="00656CBD">
      <w:pPr>
        <w:ind w:left="-567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>Expressions of Interest</w:t>
      </w:r>
      <w:r w:rsidRPr="00B656AA">
        <w:rPr>
          <w:rFonts w:asciiTheme="minorHAnsi" w:hAnsiTheme="minorHAnsi" w:cs="Arial"/>
          <w:iCs/>
          <w:sz w:val="22"/>
          <w:szCs w:val="22"/>
        </w:rPr>
        <w:t xml:space="preserve"> </w:t>
      </w:r>
      <w:r w:rsidR="00656CBD" w:rsidRPr="00B656AA">
        <w:rPr>
          <w:rFonts w:asciiTheme="minorHAnsi" w:hAnsiTheme="minorHAnsi" w:cs="Arial"/>
          <w:iCs/>
          <w:sz w:val="22"/>
          <w:szCs w:val="22"/>
        </w:rPr>
        <w:t>must</w:t>
      </w:r>
      <w:r w:rsidR="00656CBD" w:rsidRPr="00B656AA">
        <w:rPr>
          <w:rFonts w:asciiTheme="minorHAnsi" w:hAnsiTheme="minorHAnsi" w:cs="Arial"/>
          <w:sz w:val="22"/>
          <w:szCs w:val="22"/>
        </w:rPr>
        <w:t xml:space="preserve"> be able to demonstrate an ‘evidence base’ - i.e. including intended </w:t>
      </w:r>
      <w:r w:rsidR="00656CBD">
        <w:rPr>
          <w:rFonts w:asciiTheme="minorHAnsi" w:hAnsiTheme="minorHAnsi" w:cs="Arial"/>
          <w:sz w:val="22"/>
          <w:szCs w:val="22"/>
        </w:rPr>
        <w:t>project</w:t>
      </w:r>
      <w:r w:rsidR="00656CBD" w:rsidRPr="00B656AA">
        <w:rPr>
          <w:rFonts w:asciiTheme="minorHAnsi" w:hAnsiTheme="minorHAnsi" w:cs="Arial"/>
          <w:sz w:val="22"/>
          <w:szCs w:val="22"/>
        </w:rPr>
        <w:t xml:space="preserve"> outcomes, methods for achieving these outcomes, and associated measures for tracking </w:t>
      </w:r>
      <w:r w:rsidR="00656CBD">
        <w:rPr>
          <w:rFonts w:asciiTheme="minorHAnsi" w:hAnsiTheme="minorHAnsi" w:cs="Arial"/>
          <w:sz w:val="22"/>
          <w:szCs w:val="22"/>
        </w:rPr>
        <w:t>progress</w:t>
      </w:r>
      <w:r w:rsidR="00656CBD" w:rsidRPr="00B656AA">
        <w:rPr>
          <w:rFonts w:asciiTheme="minorHAnsi" w:hAnsiTheme="minorHAnsi" w:cs="Arial"/>
          <w:sz w:val="22"/>
          <w:szCs w:val="22"/>
        </w:rPr>
        <w:t>.</w:t>
      </w:r>
      <w:r w:rsidR="00656CBD">
        <w:rPr>
          <w:rFonts w:asciiTheme="minorHAnsi" w:hAnsiTheme="minorHAnsi" w:cs="Arial"/>
          <w:sz w:val="22"/>
          <w:szCs w:val="22"/>
        </w:rPr>
        <w:t xml:space="preserve"> </w:t>
      </w:r>
      <w:r w:rsidR="00656CBD" w:rsidRPr="00B656AA">
        <w:rPr>
          <w:rFonts w:asciiTheme="minorHAnsi" w:hAnsiTheme="minorHAnsi" w:cs="Arial"/>
          <w:sz w:val="22"/>
          <w:szCs w:val="22"/>
        </w:rPr>
        <w:t xml:space="preserve">If a project requires </w:t>
      </w:r>
      <w:hyperlink r:id="rId12" w:history="1">
        <w:r w:rsidR="00656CBD" w:rsidRPr="00B656AA">
          <w:rPr>
            <w:rStyle w:val="Hyperlink"/>
            <w:rFonts w:asciiTheme="minorHAnsi" w:hAnsiTheme="minorHAnsi" w:cs="Arial"/>
            <w:bCs/>
            <w:sz w:val="22"/>
            <w:szCs w:val="22"/>
          </w:rPr>
          <w:t>Human Research Ethics Committee</w:t>
        </w:r>
      </w:hyperlink>
      <w:r w:rsidR="00656CBD" w:rsidRPr="00B656AA">
        <w:rPr>
          <w:rFonts w:asciiTheme="minorHAnsi" w:hAnsiTheme="minorHAnsi"/>
          <w:sz w:val="22"/>
          <w:szCs w:val="22"/>
        </w:rPr>
        <w:t xml:space="preserve"> approval</w:t>
      </w:r>
      <w:r w:rsidR="00656CBD" w:rsidRPr="00B656AA">
        <w:rPr>
          <w:rFonts w:asciiTheme="minorHAnsi" w:hAnsiTheme="minorHAnsi" w:cs="Arial"/>
          <w:sz w:val="22"/>
          <w:szCs w:val="22"/>
        </w:rPr>
        <w:t>, the project manager will be responsible for confirming this approval has been received.</w:t>
      </w:r>
    </w:p>
    <w:p w14:paraId="1CC72D1D" w14:textId="77777777" w:rsidR="00656CBD" w:rsidRPr="00B656AA" w:rsidRDefault="00656CBD" w:rsidP="00656CBD">
      <w:pPr>
        <w:ind w:left="-567"/>
        <w:rPr>
          <w:rFonts w:asciiTheme="minorHAnsi" w:hAnsiTheme="minorHAnsi" w:cs="Arial"/>
          <w:sz w:val="22"/>
          <w:szCs w:val="22"/>
        </w:rPr>
      </w:pPr>
    </w:p>
    <w:p w14:paraId="201A7A98" w14:textId="77777777" w:rsidR="00656CBD" w:rsidRDefault="00656CBD" w:rsidP="00656CBD">
      <w:pPr>
        <w:ind w:left="-567"/>
        <w:rPr>
          <w:rFonts w:asciiTheme="minorHAnsi" w:hAnsiTheme="minorHAnsi" w:cs="Arial"/>
          <w:sz w:val="22"/>
          <w:szCs w:val="22"/>
        </w:rPr>
      </w:pPr>
      <w:r w:rsidRPr="00B656AA">
        <w:rPr>
          <w:rFonts w:asciiTheme="minorHAnsi" w:hAnsiTheme="minorHAnsi" w:cs="Arial"/>
          <w:sz w:val="22"/>
          <w:szCs w:val="22"/>
        </w:rPr>
        <w:t>The Director, Planning, Quality and Equity will notify successful applicants</w:t>
      </w:r>
      <w:r>
        <w:rPr>
          <w:rFonts w:asciiTheme="minorHAnsi" w:hAnsiTheme="minorHAnsi" w:cs="Arial"/>
          <w:sz w:val="22"/>
          <w:szCs w:val="22"/>
        </w:rPr>
        <w:t>.</w:t>
      </w:r>
    </w:p>
    <w:p w14:paraId="32DDD084" w14:textId="77777777" w:rsidR="00656CBD" w:rsidRDefault="00656CBD" w:rsidP="00656CBD">
      <w:pPr>
        <w:ind w:left="-567"/>
        <w:rPr>
          <w:rFonts w:asciiTheme="minorHAnsi" w:hAnsiTheme="minorHAnsi" w:cs="Arial"/>
          <w:b/>
          <w:sz w:val="22"/>
          <w:szCs w:val="22"/>
        </w:rPr>
      </w:pPr>
    </w:p>
    <w:p w14:paraId="029533BF" w14:textId="77777777" w:rsidR="00656CBD" w:rsidRPr="00B656AA" w:rsidRDefault="00656CBD" w:rsidP="00656CBD">
      <w:pPr>
        <w:ind w:left="-567"/>
        <w:rPr>
          <w:rFonts w:asciiTheme="minorHAnsi" w:hAnsiTheme="minorHAnsi" w:cs="Arial"/>
          <w:b/>
          <w:sz w:val="22"/>
          <w:szCs w:val="22"/>
        </w:rPr>
      </w:pPr>
      <w:r w:rsidRPr="00B656AA">
        <w:rPr>
          <w:rFonts w:asciiTheme="minorHAnsi" w:hAnsiTheme="minorHAnsi" w:cs="Arial"/>
          <w:b/>
          <w:sz w:val="22"/>
          <w:szCs w:val="22"/>
        </w:rPr>
        <w:t>Funding Transfers and Allocations</w:t>
      </w:r>
    </w:p>
    <w:p w14:paraId="30EEC70F" w14:textId="77777777" w:rsidR="00656CBD" w:rsidRPr="00B656AA" w:rsidRDefault="00656CBD" w:rsidP="00656CBD">
      <w:pPr>
        <w:ind w:left="-567"/>
        <w:rPr>
          <w:rFonts w:asciiTheme="minorHAnsi" w:hAnsiTheme="minorHAnsi" w:cs="Arial"/>
          <w:sz w:val="22"/>
          <w:szCs w:val="22"/>
        </w:rPr>
      </w:pPr>
      <w:r w:rsidRPr="00B656AA">
        <w:rPr>
          <w:rFonts w:asciiTheme="minorHAnsi" w:hAnsiTheme="minorHAnsi" w:cs="Arial"/>
          <w:sz w:val="22"/>
          <w:szCs w:val="22"/>
        </w:rPr>
        <w:t xml:space="preserve">For </w:t>
      </w:r>
      <w:r>
        <w:rPr>
          <w:rFonts w:asciiTheme="minorHAnsi" w:hAnsiTheme="minorHAnsi" w:cs="Arial"/>
          <w:sz w:val="22"/>
          <w:szCs w:val="22"/>
        </w:rPr>
        <w:t xml:space="preserve">new </w:t>
      </w:r>
      <w:r w:rsidRPr="00B656AA">
        <w:rPr>
          <w:rFonts w:asciiTheme="minorHAnsi" w:hAnsiTheme="minorHAnsi" w:cs="Arial"/>
          <w:sz w:val="22"/>
          <w:szCs w:val="22"/>
        </w:rPr>
        <w:t>projects successfully funded under HEPPP, Finance and Business Service Centre (FBSC)</w:t>
      </w:r>
      <w:r>
        <w:rPr>
          <w:rFonts w:asciiTheme="minorHAnsi" w:hAnsiTheme="minorHAnsi" w:cs="Arial"/>
          <w:sz w:val="22"/>
          <w:szCs w:val="22"/>
        </w:rPr>
        <w:t xml:space="preserve"> will arrange for</w:t>
      </w:r>
      <w:r w:rsidRPr="00B656AA">
        <w:rPr>
          <w:rFonts w:asciiTheme="minorHAnsi" w:hAnsiTheme="minorHAnsi" w:cs="Arial"/>
          <w:sz w:val="22"/>
          <w:szCs w:val="22"/>
        </w:rPr>
        <w:t xml:space="preserve"> funding </w:t>
      </w:r>
      <w:r>
        <w:rPr>
          <w:rFonts w:asciiTheme="minorHAnsi" w:hAnsiTheme="minorHAnsi" w:cs="Arial"/>
          <w:sz w:val="22"/>
          <w:szCs w:val="22"/>
        </w:rPr>
        <w:t>to</w:t>
      </w:r>
      <w:r w:rsidRPr="00B656AA">
        <w:rPr>
          <w:rFonts w:asciiTheme="minorHAnsi" w:hAnsiTheme="minorHAnsi" w:cs="Arial"/>
          <w:sz w:val="22"/>
          <w:szCs w:val="22"/>
        </w:rPr>
        <w:t xml:space="preserve"> be transferred to a new and separate project code requested by the project manager</w:t>
      </w:r>
      <w:r>
        <w:rPr>
          <w:rFonts w:asciiTheme="minorHAnsi" w:hAnsiTheme="minorHAnsi" w:cs="Arial"/>
          <w:sz w:val="22"/>
          <w:szCs w:val="22"/>
        </w:rPr>
        <w:t xml:space="preserve">.  </w:t>
      </w:r>
      <w:r w:rsidRPr="00B656AA">
        <w:rPr>
          <w:rFonts w:asciiTheme="minorHAnsi" w:hAnsiTheme="minorHAnsi" w:cs="Arial"/>
          <w:sz w:val="22"/>
          <w:szCs w:val="22"/>
        </w:rPr>
        <w:t>The project code should be used for all expenditure associated with the HEPPP-funded project</w:t>
      </w:r>
      <w:r>
        <w:rPr>
          <w:rFonts w:asciiTheme="minorHAnsi" w:hAnsiTheme="minorHAnsi" w:cs="Arial"/>
          <w:sz w:val="22"/>
          <w:szCs w:val="22"/>
        </w:rPr>
        <w:t xml:space="preserve">. </w:t>
      </w:r>
    </w:p>
    <w:p w14:paraId="5357456B" w14:textId="77777777" w:rsidR="00656CBD" w:rsidRPr="00B656AA" w:rsidRDefault="00656CBD" w:rsidP="00656CBD">
      <w:pPr>
        <w:ind w:left="-567"/>
        <w:rPr>
          <w:rFonts w:asciiTheme="minorHAnsi" w:hAnsiTheme="minorHAnsi" w:cs="Arial"/>
          <w:sz w:val="22"/>
          <w:szCs w:val="22"/>
        </w:rPr>
      </w:pPr>
    </w:p>
    <w:p w14:paraId="560F08D7" w14:textId="4E7DD470" w:rsidR="00656CBD" w:rsidRPr="00B656AA" w:rsidRDefault="00656CBD" w:rsidP="00656CBD">
      <w:pPr>
        <w:ind w:left="-567"/>
        <w:rPr>
          <w:rFonts w:asciiTheme="minorHAnsi" w:hAnsiTheme="minorHAnsi" w:cs="Arial"/>
          <w:sz w:val="22"/>
          <w:szCs w:val="22"/>
        </w:rPr>
      </w:pPr>
      <w:r w:rsidRPr="00B656AA">
        <w:rPr>
          <w:rFonts w:asciiTheme="minorHAnsi" w:hAnsiTheme="minorHAnsi" w:cs="Arial"/>
          <w:sz w:val="22"/>
          <w:szCs w:val="22"/>
        </w:rPr>
        <w:t xml:space="preserve">If a project exceeds the allocated HEPPP funding, the project manager is responsible for securing faculty/centre funding for any </w:t>
      </w:r>
      <w:r>
        <w:rPr>
          <w:rFonts w:asciiTheme="minorHAnsi" w:hAnsiTheme="minorHAnsi" w:cs="Arial"/>
          <w:sz w:val="22"/>
          <w:szCs w:val="22"/>
        </w:rPr>
        <w:t>additional expenditure</w:t>
      </w:r>
      <w:r w:rsidRPr="00B656AA">
        <w:rPr>
          <w:rFonts w:asciiTheme="minorHAnsi" w:hAnsiTheme="minorHAnsi" w:cs="Arial"/>
          <w:sz w:val="22"/>
          <w:szCs w:val="22"/>
        </w:rPr>
        <w:t xml:space="preserve">.  </w:t>
      </w:r>
      <w:r>
        <w:rPr>
          <w:rFonts w:asciiTheme="minorHAnsi" w:hAnsiTheme="minorHAnsi" w:cs="Arial"/>
          <w:sz w:val="22"/>
          <w:szCs w:val="22"/>
        </w:rPr>
        <w:t>Where</w:t>
      </w:r>
      <w:r w:rsidRPr="00B656AA">
        <w:rPr>
          <w:rFonts w:asciiTheme="minorHAnsi" w:hAnsiTheme="minorHAnsi" w:cs="Arial"/>
          <w:sz w:val="22"/>
          <w:szCs w:val="22"/>
        </w:rPr>
        <w:t xml:space="preserve"> a project does not expend all the HEPPP funding allocated, remaining monies will be transferred back to central allocations at year end </w:t>
      </w:r>
      <w:r>
        <w:rPr>
          <w:rFonts w:asciiTheme="minorHAnsi" w:hAnsiTheme="minorHAnsi" w:cs="Arial"/>
          <w:sz w:val="22"/>
          <w:szCs w:val="22"/>
        </w:rPr>
        <w:t>and will be returned to the Commonwealth Government</w:t>
      </w:r>
      <w:r w:rsidRPr="00B656AA">
        <w:rPr>
          <w:rFonts w:asciiTheme="minorHAnsi" w:hAnsiTheme="minorHAnsi" w:cs="Arial"/>
          <w:sz w:val="22"/>
          <w:szCs w:val="22"/>
        </w:rPr>
        <w:t xml:space="preserve">. </w:t>
      </w:r>
    </w:p>
    <w:p w14:paraId="19D2FA52" w14:textId="77777777" w:rsidR="0092501E" w:rsidRPr="00B656AA" w:rsidRDefault="0092501E" w:rsidP="000C5C9C">
      <w:pPr>
        <w:ind w:left="-567"/>
        <w:rPr>
          <w:rFonts w:asciiTheme="minorHAnsi" w:hAnsiTheme="minorHAnsi" w:cs="Arial"/>
          <w:sz w:val="22"/>
          <w:szCs w:val="22"/>
        </w:rPr>
      </w:pPr>
    </w:p>
    <w:p w14:paraId="3BF08756" w14:textId="77777777" w:rsidR="0092501E" w:rsidRDefault="0092501E" w:rsidP="000C5C9C">
      <w:pPr>
        <w:ind w:left="-567"/>
        <w:rPr>
          <w:rFonts w:asciiTheme="minorHAnsi" w:hAnsiTheme="minorHAnsi" w:cs="Arial"/>
          <w:sz w:val="22"/>
          <w:szCs w:val="22"/>
        </w:rPr>
      </w:pPr>
    </w:p>
    <w:p w14:paraId="1584BE58" w14:textId="77777777" w:rsidR="0092501E" w:rsidRPr="00B656AA" w:rsidRDefault="0092501E" w:rsidP="000C5C9C">
      <w:pPr>
        <w:ind w:left="-567"/>
        <w:rPr>
          <w:rFonts w:asciiTheme="minorHAnsi" w:hAnsiTheme="minorHAnsi" w:cs="Arial"/>
          <w:b/>
          <w:sz w:val="22"/>
          <w:szCs w:val="22"/>
        </w:rPr>
      </w:pPr>
      <w:r w:rsidRPr="00B656AA">
        <w:rPr>
          <w:rFonts w:asciiTheme="minorHAnsi" w:hAnsiTheme="minorHAnsi" w:cs="Arial"/>
          <w:b/>
          <w:sz w:val="22"/>
          <w:szCs w:val="22"/>
        </w:rPr>
        <w:t>Project Report</w:t>
      </w:r>
      <w:r w:rsidR="00D20C5B" w:rsidRPr="00B656AA">
        <w:rPr>
          <w:rFonts w:asciiTheme="minorHAnsi" w:hAnsiTheme="minorHAnsi" w:cs="Arial"/>
          <w:b/>
          <w:sz w:val="22"/>
          <w:szCs w:val="22"/>
        </w:rPr>
        <w:t>ing</w:t>
      </w:r>
    </w:p>
    <w:p w14:paraId="2086F01E" w14:textId="10B06C98" w:rsidR="0092501E" w:rsidRPr="00B656AA" w:rsidRDefault="006F42F9" w:rsidP="000C5C9C">
      <w:pPr>
        <w:ind w:left="-567"/>
        <w:rPr>
          <w:rFonts w:asciiTheme="minorHAnsi" w:hAnsiTheme="minorHAnsi" w:cs="Arial"/>
          <w:sz w:val="22"/>
          <w:szCs w:val="22"/>
        </w:rPr>
      </w:pPr>
      <w:r w:rsidRPr="00B656AA">
        <w:rPr>
          <w:rFonts w:asciiTheme="minorHAnsi" w:hAnsiTheme="minorHAnsi" w:cs="Arial"/>
          <w:sz w:val="22"/>
          <w:szCs w:val="22"/>
        </w:rPr>
        <w:t>P</w:t>
      </w:r>
      <w:r w:rsidR="004E10E3" w:rsidRPr="00B656AA">
        <w:rPr>
          <w:rFonts w:asciiTheme="minorHAnsi" w:hAnsiTheme="minorHAnsi" w:cs="Arial"/>
          <w:sz w:val="22"/>
          <w:szCs w:val="22"/>
        </w:rPr>
        <w:t>roject m</w:t>
      </w:r>
      <w:r w:rsidR="0092501E" w:rsidRPr="00B656AA">
        <w:rPr>
          <w:rFonts w:asciiTheme="minorHAnsi" w:hAnsiTheme="minorHAnsi" w:cs="Arial"/>
          <w:sz w:val="22"/>
          <w:szCs w:val="22"/>
        </w:rPr>
        <w:t>anager</w:t>
      </w:r>
      <w:r w:rsidR="004E10E3" w:rsidRPr="00B656AA">
        <w:rPr>
          <w:rFonts w:asciiTheme="minorHAnsi" w:hAnsiTheme="minorHAnsi" w:cs="Arial"/>
          <w:sz w:val="22"/>
          <w:szCs w:val="22"/>
        </w:rPr>
        <w:t>s</w:t>
      </w:r>
      <w:r w:rsidR="0092501E" w:rsidRPr="00B656AA">
        <w:rPr>
          <w:rFonts w:asciiTheme="minorHAnsi" w:hAnsiTheme="minorHAnsi" w:cs="Arial"/>
          <w:sz w:val="22"/>
          <w:szCs w:val="22"/>
        </w:rPr>
        <w:t xml:space="preserve"> will be </w:t>
      </w:r>
      <w:r w:rsidR="00BF5E4B" w:rsidRPr="00B656AA">
        <w:rPr>
          <w:rFonts w:asciiTheme="minorHAnsi" w:hAnsiTheme="minorHAnsi" w:cs="Arial"/>
          <w:sz w:val="22"/>
          <w:szCs w:val="22"/>
        </w:rPr>
        <w:t xml:space="preserve">required </w:t>
      </w:r>
      <w:r w:rsidR="0092501E" w:rsidRPr="00B656AA">
        <w:rPr>
          <w:rFonts w:asciiTheme="minorHAnsi" w:hAnsiTheme="minorHAnsi" w:cs="Arial"/>
          <w:sz w:val="22"/>
          <w:szCs w:val="22"/>
        </w:rPr>
        <w:t xml:space="preserve">to provide information on </w:t>
      </w:r>
      <w:r w:rsidR="00BF5E4B" w:rsidRPr="00B656AA">
        <w:rPr>
          <w:rFonts w:asciiTheme="minorHAnsi" w:hAnsiTheme="minorHAnsi" w:cs="Arial"/>
          <w:sz w:val="22"/>
          <w:szCs w:val="22"/>
        </w:rPr>
        <w:t xml:space="preserve">the </w:t>
      </w:r>
      <w:r w:rsidR="00154E62">
        <w:rPr>
          <w:rFonts w:asciiTheme="minorHAnsi" w:hAnsiTheme="minorHAnsi" w:cs="Arial"/>
          <w:sz w:val="22"/>
          <w:szCs w:val="22"/>
        </w:rPr>
        <w:t xml:space="preserve">expenditure and </w:t>
      </w:r>
      <w:r w:rsidR="00BF5E4B" w:rsidRPr="00B656AA">
        <w:rPr>
          <w:rFonts w:asciiTheme="minorHAnsi" w:hAnsiTheme="minorHAnsi" w:cs="Arial"/>
          <w:sz w:val="22"/>
          <w:szCs w:val="22"/>
        </w:rPr>
        <w:t xml:space="preserve">outcomes </w:t>
      </w:r>
      <w:r w:rsidR="0092501E" w:rsidRPr="00B656AA">
        <w:rPr>
          <w:rFonts w:asciiTheme="minorHAnsi" w:hAnsiTheme="minorHAnsi" w:cs="Arial"/>
          <w:sz w:val="22"/>
          <w:szCs w:val="22"/>
        </w:rPr>
        <w:t>of the project</w:t>
      </w:r>
      <w:r w:rsidR="00093670">
        <w:rPr>
          <w:rFonts w:asciiTheme="minorHAnsi" w:hAnsiTheme="minorHAnsi" w:cs="Arial"/>
          <w:sz w:val="22"/>
          <w:szCs w:val="22"/>
        </w:rPr>
        <w:t xml:space="preserve"> which will contribute to the University’s</w:t>
      </w:r>
      <w:r w:rsidR="002F4161">
        <w:rPr>
          <w:rFonts w:asciiTheme="minorHAnsi" w:hAnsiTheme="minorHAnsi" w:cs="Arial"/>
          <w:sz w:val="22"/>
          <w:szCs w:val="22"/>
        </w:rPr>
        <w:t xml:space="preserve"> HEPPP</w:t>
      </w:r>
      <w:r w:rsidR="00093670">
        <w:rPr>
          <w:rFonts w:asciiTheme="minorHAnsi" w:hAnsiTheme="minorHAnsi" w:cs="Arial"/>
          <w:sz w:val="22"/>
          <w:szCs w:val="22"/>
        </w:rPr>
        <w:t xml:space="preserve"> </w:t>
      </w:r>
      <w:r w:rsidR="000C5B7D">
        <w:rPr>
          <w:rFonts w:asciiTheme="minorHAnsi" w:hAnsiTheme="minorHAnsi" w:cs="Arial"/>
          <w:sz w:val="22"/>
          <w:szCs w:val="22"/>
        </w:rPr>
        <w:t>acquittal</w:t>
      </w:r>
      <w:r w:rsidR="00093670">
        <w:rPr>
          <w:rFonts w:asciiTheme="minorHAnsi" w:hAnsiTheme="minorHAnsi" w:cs="Arial"/>
          <w:sz w:val="22"/>
          <w:szCs w:val="22"/>
        </w:rPr>
        <w:t xml:space="preserve"> report to the </w:t>
      </w:r>
      <w:r w:rsidR="00157F8B">
        <w:rPr>
          <w:rFonts w:asciiTheme="minorHAnsi" w:hAnsiTheme="minorHAnsi" w:cs="Arial"/>
          <w:sz w:val="22"/>
          <w:szCs w:val="22"/>
        </w:rPr>
        <w:t>Commonwealth G</w:t>
      </w:r>
      <w:r w:rsidR="00093670">
        <w:rPr>
          <w:rFonts w:asciiTheme="minorHAnsi" w:hAnsiTheme="minorHAnsi" w:cs="Arial"/>
          <w:sz w:val="22"/>
          <w:szCs w:val="22"/>
        </w:rPr>
        <w:t>overnment</w:t>
      </w:r>
      <w:r w:rsidR="0092501E" w:rsidRPr="00B656AA">
        <w:rPr>
          <w:rFonts w:asciiTheme="minorHAnsi" w:hAnsiTheme="minorHAnsi" w:cs="Arial"/>
          <w:sz w:val="22"/>
          <w:szCs w:val="22"/>
        </w:rPr>
        <w:t xml:space="preserve">.  </w:t>
      </w:r>
    </w:p>
    <w:p w14:paraId="73B66093" w14:textId="77777777" w:rsidR="0092501E" w:rsidRPr="00B656AA" w:rsidRDefault="0092501E" w:rsidP="000C5C9C">
      <w:pPr>
        <w:ind w:left="-567"/>
        <w:rPr>
          <w:rFonts w:asciiTheme="minorHAnsi" w:hAnsiTheme="minorHAnsi" w:cs="Arial"/>
          <w:sz w:val="22"/>
          <w:szCs w:val="22"/>
        </w:rPr>
      </w:pPr>
    </w:p>
    <w:p w14:paraId="36A3D1A7" w14:textId="77777777" w:rsidR="0092501E" w:rsidRPr="00B656AA" w:rsidRDefault="00BF5E4B" w:rsidP="000C5C9C">
      <w:pPr>
        <w:ind w:left="-567"/>
        <w:rPr>
          <w:rFonts w:asciiTheme="minorHAnsi" w:hAnsiTheme="minorHAnsi"/>
          <w:sz w:val="22"/>
          <w:szCs w:val="22"/>
        </w:rPr>
      </w:pPr>
      <w:r w:rsidRPr="00B656AA">
        <w:rPr>
          <w:rFonts w:asciiTheme="minorHAnsi" w:hAnsiTheme="minorHAnsi" w:cs="Arial"/>
          <w:sz w:val="22"/>
          <w:szCs w:val="22"/>
        </w:rPr>
        <w:t>Q</w:t>
      </w:r>
      <w:r w:rsidR="0092501E" w:rsidRPr="00B656AA">
        <w:rPr>
          <w:rFonts w:asciiTheme="minorHAnsi" w:hAnsiTheme="minorHAnsi" w:cs="Arial"/>
          <w:sz w:val="22"/>
          <w:szCs w:val="22"/>
        </w:rPr>
        <w:t xml:space="preserve">uantitative and qualitative data on </w:t>
      </w:r>
      <w:r w:rsidRPr="00B656AA">
        <w:rPr>
          <w:rFonts w:asciiTheme="minorHAnsi" w:hAnsiTheme="minorHAnsi" w:cs="Arial"/>
          <w:sz w:val="22"/>
          <w:szCs w:val="22"/>
        </w:rPr>
        <w:t xml:space="preserve">project </w:t>
      </w:r>
      <w:r w:rsidR="0092501E" w:rsidRPr="00B656AA">
        <w:rPr>
          <w:rFonts w:asciiTheme="minorHAnsi" w:hAnsiTheme="minorHAnsi" w:cs="Arial"/>
          <w:sz w:val="22"/>
          <w:szCs w:val="22"/>
        </w:rPr>
        <w:t xml:space="preserve">outcomes </w:t>
      </w:r>
      <w:r w:rsidRPr="00B656AA">
        <w:rPr>
          <w:rFonts w:asciiTheme="minorHAnsi" w:hAnsiTheme="minorHAnsi" w:cs="Arial"/>
          <w:sz w:val="22"/>
          <w:szCs w:val="22"/>
        </w:rPr>
        <w:t>must demonstrate tangible benefits</w:t>
      </w:r>
      <w:r w:rsidR="0092501E" w:rsidRPr="00B656AA">
        <w:rPr>
          <w:rFonts w:asciiTheme="minorHAnsi" w:hAnsiTheme="minorHAnsi" w:cs="Arial"/>
          <w:sz w:val="22"/>
          <w:szCs w:val="22"/>
        </w:rPr>
        <w:t xml:space="preserve"> for low SES students</w:t>
      </w:r>
      <w:r w:rsidRPr="00B656AA">
        <w:rPr>
          <w:rFonts w:asciiTheme="minorHAnsi" w:hAnsiTheme="minorHAnsi" w:cs="Arial"/>
          <w:sz w:val="22"/>
          <w:szCs w:val="22"/>
        </w:rPr>
        <w:t xml:space="preserve"> and/ or</w:t>
      </w:r>
      <w:r w:rsidR="00154E62">
        <w:rPr>
          <w:rFonts w:asciiTheme="minorHAnsi" w:hAnsiTheme="minorHAnsi" w:cs="Arial"/>
          <w:sz w:val="22"/>
          <w:szCs w:val="22"/>
        </w:rPr>
        <w:t xml:space="preserve"> low SES</w:t>
      </w:r>
      <w:r w:rsidRPr="00B656AA">
        <w:rPr>
          <w:rFonts w:asciiTheme="minorHAnsi" w:hAnsiTheme="minorHAnsi" w:cs="Arial"/>
          <w:sz w:val="22"/>
          <w:szCs w:val="22"/>
        </w:rPr>
        <w:t xml:space="preserve"> communities</w:t>
      </w:r>
      <w:r w:rsidR="0092501E" w:rsidRPr="00B656AA">
        <w:rPr>
          <w:rFonts w:asciiTheme="minorHAnsi" w:hAnsiTheme="minorHAnsi" w:cs="Arial"/>
          <w:sz w:val="22"/>
          <w:szCs w:val="22"/>
        </w:rPr>
        <w:t>.</w:t>
      </w:r>
    </w:p>
    <w:p w14:paraId="45AEBD06" w14:textId="77777777" w:rsidR="0092501E" w:rsidRDefault="0092501E" w:rsidP="000C5C9C">
      <w:pPr>
        <w:ind w:left="-567"/>
        <w:rPr>
          <w:rFonts w:asciiTheme="minorHAnsi" w:hAnsiTheme="minorHAnsi"/>
          <w:sz w:val="22"/>
          <w:szCs w:val="22"/>
        </w:rPr>
      </w:pPr>
    </w:p>
    <w:p w14:paraId="5B966259" w14:textId="77777777" w:rsidR="0092501E" w:rsidRPr="00B656AA" w:rsidRDefault="00D20C5B" w:rsidP="000C5C9C">
      <w:pPr>
        <w:ind w:left="-567"/>
        <w:rPr>
          <w:rFonts w:asciiTheme="minorHAnsi" w:hAnsiTheme="minorHAnsi"/>
          <w:b/>
          <w:sz w:val="22"/>
          <w:szCs w:val="22"/>
        </w:rPr>
      </w:pPr>
      <w:r w:rsidRPr="00B656AA">
        <w:rPr>
          <w:rFonts w:asciiTheme="minorHAnsi" w:hAnsiTheme="minorHAnsi"/>
          <w:b/>
          <w:sz w:val="22"/>
          <w:szCs w:val="22"/>
        </w:rPr>
        <w:t>Contact Details</w:t>
      </w:r>
    </w:p>
    <w:p w14:paraId="3347E200" w14:textId="77777777" w:rsidR="0092501E" w:rsidRPr="00B656AA" w:rsidRDefault="0092501E" w:rsidP="000C5C9C">
      <w:pPr>
        <w:ind w:left="-567"/>
        <w:rPr>
          <w:rFonts w:asciiTheme="minorHAnsi" w:hAnsiTheme="minorHAnsi"/>
          <w:sz w:val="22"/>
          <w:szCs w:val="22"/>
        </w:rPr>
      </w:pPr>
      <w:r w:rsidRPr="00B656AA">
        <w:rPr>
          <w:rFonts w:asciiTheme="minorHAnsi" w:hAnsiTheme="minorHAnsi"/>
          <w:sz w:val="22"/>
          <w:szCs w:val="22"/>
        </w:rPr>
        <w:t xml:space="preserve">For </w:t>
      </w:r>
      <w:r w:rsidR="00A35CF2" w:rsidRPr="00B656AA">
        <w:rPr>
          <w:rFonts w:asciiTheme="minorHAnsi" w:hAnsiTheme="minorHAnsi"/>
          <w:sz w:val="22"/>
          <w:szCs w:val="22"/>
        </w:rPr>
        <w:t>proposals</w:t>
      </w:r>
      <w:r w:rsidRPr="00B656AA">
        <w:rPr>
          <w:rFonts w:asciiTheme="minorHAnsi" w:hAnsiTheme="minorHAnsi"/>
          <w:sz w:val="22"/>
          <w:szCs w:val="22"/>
        </w:rPr>
        <w:t xml:space="preserve">: </w:t>
      </w:r>
      <w:r w:rsidR="00865AB1">
        <w:rPr>
          <w:rFonts w:asciiTheme="minorHAnsi" w:hAnsiTheme="minorHAnsi"/>
          <w:sz w:val="22"/>
          <w:szCs w:val="22"/>
        </w:rPr>
        <w:t>Felicity</w:t>
      </w:r>
      <w:r w:rsidR="00DC04D4">
        <w:rPr>
          <w:rFonts w:asciiTheme="minorHAnsi" w:hAnsiTheme="minorHAnsi"/>
          <w:sz w:val="22"/>
          <w:szCs w:val="22"/>
        </w:rPr>
        <w:t xml:space="preserve"> </w:t>
      </w:r>
      <w:r w:rsidR="002A423D">
        <w:rPr>
          <w:rFonts w:asciiTheme="minorHAnsi" w:hAnsiTheme="minorHAnsi"/>
          <w:sz w:val="22"/>
          <w:szCs w:val="22"/>
        </w:rPr>
        <w:t>Mitchell (</w:t>
      </w:r>
      <w:r w:rsidR="00865AB1">
        <w:rPr>
          <w:rFonts w:asciiTheme="minorHAnsi" w:hAnsiTheme="minorHAnsi"/>
          <w:sz w:val="22"/>
          <w:szCs w:val="22"/>
        </w:rPr>
        <w:t>6304 5354</w:t>
      </w:r>
      <w:r w:rsidR="002A423D">
        <w:rPr>
          <w:rFonts w:asciiTheme="minorHAnsi" w:hAnsiTheme="minorHAnsi"/>
          <w:sz w:val="22"/>
          <w:szCs w:val="22"/>
        </w:rPr>
        <w:t xml:space="preserve"> or</w:t>
      </w:r>
      <w:r w:rsidRPr="00B656AA">
        <w:rPr>
          <w:rFonts w:asciiTheme="minorHAnsi" w:hAnsiTheme="minorHAnsi"/>
          <w:sz w:val="22"/>
          <w:szCs w:val="22"/>
        </w:rPr>
        <w:t xml:space="preserve"> </w:t>
      </w:r>
      <w:hyperlink r:id="rId13" w:history="1">
        <w:r w:rsidR="00564E61" w:rsidRPr="009D71FA">
          <w:rPr>
            <w:rStyle w:val="Hyperlink"/>
            <w:rFonts w:asciiTheme="minorHAnsi" w:hAnsiTheme="minorHAnsi"/>
            <w:sz w:val="22"/>
            <w:szCs w:val="22"/>
          </w:rPr>
          <w:t>f.mitchell@ecu.edu.au</w:t>
        </w:r>
      </w:hyperlink>
      <w:r w:rsidRPr="00B656AA">
        <w:rPr>
          <w:rFonts w:asciiTheme="minorHAnsi" w:hAnsiTheme="minorHAnsi"/>
          <w:sz w:val="22"/>
          <w:szCs w:val="22"/>
        </w:rPr>
        <w:t>)</w:t>
      </w:r>
    </w:p>
    <w:p w14:paraId="67B5E287" w14:textId="77777777" w:rsidR="00013EC5" w:rsidRPr="00B656AA" w:rsidRDefault="0092501E" w:rsidP="000C5C9C">
      <w:pPr>
        <w:ind w:left="-567"/>
        <w:rPr>
          <w:rFonts w:asciiTheme="minorHAnsi" w:hAnsiTheme="minorHAnsi"/>
          <w:sz w:val="22"/>
          <w:szCs w:val="22"/>
        </w:rPr>
      </w:pPr>
      <w:r w:rsidRPr="00B656AA">
        <w:rPr>
          <w:rFonts w:asciiTheme="minorHAnsi" w:hAnsiTheme="minorHAnsi"/>
          <w:sz w:val="22"/>
          <w:szCs w:val="22"/>
        </w:rPr>
        <w:t xml:space="preserve">For financial matters: Leontine </w:t>
      </w:r>
      <w:proofErr w:type="spellStart"/>
      <w:r w:rsidRPr="00B656AA">
        <w:rPr>
          <w:rFonts w:asciiTheme="minorHAnsi" w:hAnsiTheme="minorHAnsi"/>
          <w:sz w:val="22"/>
          <w:szCs w:val="22"/>
        </w:rPr>
        <w:t>Baars-Scotney</w:t>
      </w:r>
      <w:proofErr w:type="spellEnd"/>
      <w:r w:rsidRPr="00B656AA">
        <w:rPr>
          <w:rFonts w:asciiTheme="minorHAnsi" w:hAnsiTheme="minorHAnsi"/>
          <w:sz w:val="22"/>
          <w:szCs w:val="22"/>
        </w:rPr>
        <w:t xml:space="preserve"> (6304 2173</w:t>
      </w:r>
      <w:r w:rsidR="002A423D">
        <w:rPr>
          <w:rFonts w:asciiTheme="minorHAnsi" w:hAnsiTheme="minorHAnsi"/>
          <w:sz w:val="22"/>
          <w:szCs w:val="22"/>
        </w:rPr>
        <w:t xml:space="preserve"> or</w:t>
      </w:r>
      <w:r w:rsidRPr="00B656AA">
        <w:rPr>
          <w:rFonts w:asciiTheme="minorHAnsi" w:hAnsiTheme="minorHAnsi"/>
          <w:sz w:val="22"/>
          <w:szCs w:val="22"/>
        </w:rPr>
        <w:t xml:space="preserve"> </w:t>
      </w:r>
      <w:hyperlink r:id="rId14" w:history="1">
        <w:r w:rsidRPr="00B656AA">
          <w:rPr>
            <w:rStyle w:val="Hyperlink"/>
            <w:rFonts w:asciiTheme="minorHAnsi" w:hAnsiTheme="minorHAnsi"/>
            <w:sz w:val="22"/>
            <w:szCs w:val="22"/>
          </w:rPr>
          <w:t>l.baars-scotney@ecu.edu.au</w:t>
        </w:r>
      </w:hyperlink>
      <w:r w:rsidRPr="00B656AA">
        <w:rPr>
          <w:rFonts w:asciiTheme="minorHAnsi" w:hAnsiTheme="minorHAnsi"/>
          <w:sz w:val="22"/>
          <w:szCs w:val="22"/>
        </w:rPr>
        <w:t>)</w:t>
      </w:r>
    </w:p>
    <w:sectPr w:rsidR="00013EC5" w:rsidRPr="00B656AA" w:rsidSect="009B7C85">
      <w:footerReference w:type="even" r:id="rId15"/>
      <w:pgSz w:w="11906" w:h="16838"/>
      <w:pgMar w:top="1304" w:right="1701" w:bottom="34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5EE415" w14:textId="77777777" w:rsidR="003816A5" w:rsidRDefault="003816A5">
      <w:r>
        <w:separator/>
      </w:r>
    </w:p>
  </w:endnote>
  <w:endnote w:type="continuationSeparator" w:id="0">
    <w:p w14:paraId="5F3DEA7E" w14:textId="77777777" w:rsidR="003816A5" w:rsidRDefault="00381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DA754" w14:textId="77777777" w:rsidR="00EC205F" w:rsidRDefault="00DA0A1C" w:rsidP="006B6AC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C205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D92240" w14:textId="77777777" w:rsidR="00EC205F" w:rsidRDefault="00EC205F" w:rsidP="00064AF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CC5419" w14:textId="77777777" w:rsidR="003816A5" w:rsidRDefault="003816A5">
      <w:r>
        <w:separator/>
      </w:r>
    </w:p>
  </w:footnote>
  <w:footnote w:type="continuationSeparator" w:id="0">
    <w:p w14:paraId="7FE245E2" w14:textId="77777777" w:rsidR="003816A5" w:rsidRDefault="003816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7DD9"/>
    <w:multiLevelType w:val="hybridMultilevel"/>
    <w:tmpl w:val="9D5EC392"/>
    <w:lvl w:ilvl="0" w:tplc="660671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E25F83"/>
    <w:multiLevelType w:val="hybridMultilevel"/>
    <w:tmpl w:val="1FA09B46"/>
    <w:lvl w:ilvl="0" w:tplc="0180F6F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E3D1A"/>
    <w:multiLevelType w:val="hybridMultilevel"/>
    <w:tmpl w:val="2096601A"/>
    <w:lvl w:ilvl="0" w:tplc="B02041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C0BED"/>
    <w:multiLevelType w:val="hybridMultilevel"/>
    <w:tmpl w:val="6D7A535E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002DE0"/>
    <w:multiLevelType w:val="hybridMultilevel"/>
    <w:tmpl w:val="4B50A07E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F902733"/>
    <w:multiLevelType w:val="hybridMultilevel"/>
    <w:tmpl w:val="20CEF2CE"/>
    <w:lvl w:ilvl="0" w:tplc="B02041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D41658"/>
    <w:multiLevelType w:val="hybridMultilevel"/>
    <w:tmpl w:val="233CFDDE"/>
    <w:lvl w:ilvl="0" w:tplc="B02041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BC7EBD"/>
    <w:multiLevelType w:val="hybridMultilevel"/>
    <w:tmpl w:val="B268B2AE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DA6B60"/>
    <w:multiLevelType w:val="hybridMultilevel"/>
    <w:tmpl w:val="09B48272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D6D6034"/>
    <w:multiLevelType w:val="hybridMultilevel"/>
    <w:tmpl w:val="3F7623A6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DB5326"/>
    <w:multiLevelType w:val="hybridMultilevel"/>
    <w:tmpl w:val="20445CF0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9061F7"/>
    <w:multiLevelType w:val="hybridMultilevel"/>
    <w:tmpl w:val="18CE087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5866F1"/>
    <w:multiLevelType w:val="multilevel"/>
    <w:tmpl w:val="9D5EC39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6C37AB1"/>
    <w:multiLevelType w:val="hybridMultilevel"/>
    <w:tmpl w:val="38323C5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AF9780E"/>
    <w:multiLevelType w:val="hybridMultilevel"/>
    <w:tmpl w:val="20DE4AA0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2344F72"/>
    <w:multiLevelType w:val="hybridMultilevel"/>
    <w:tmpl w:val="A2ECD4A2"/>
    <w:lvl w:ilvl="0" w:tplc="B02041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2E7300"/>
    <w:multiLevelType w:val="hybridMultilevel"/>
    <w:tmpl w:val="119CED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6552FB"/>
    <w:multiLevelType w:val="hybridMultilevel"/>
    <w:tmpl w:val="F90E2D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C833572"/>
    <w:multiLevelType w:val="hybridMultilevel"/>
    <w:tmpl w:val="2730B7B4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B56685F"/>
    <w:multiLevelType w:val="hybridMultilevel"/>
    <w:tmpl w:val="BB7629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7"/>
  </w:num>
  <w:num w:numId="4">
    <w:abstractNumId w:val="14"/>
  </w:num>
  <w:num w:numId="5">
    <w:abstractNumId w:val="10"/>
  </w:num>
  <w:num w:numId="6">
    <w:abstractNumId w:val="7"/>
  </w:num>
  <w:num w:numId="7">
    <w:abstractNumId w:val="3"/>
  </w:num>
  <w:num w:numId="8">
    <w:abstractNumId w:val="9"/>
  </w:num>
  <w:num w:numId="9">
    <w:abstractNumId w:val="18"/>
  </w:num>
  <w:num w:numId="10">
    <w:abstractNumId w:val="4"/>
  </w:num>
  <w:num w:numId="11">
    <w:abstractNumId w:val="16"/>
  </w:num>
  <w:num w:numId="12">
    <w:abstractNumId w:val="13"/>
  </w:num>
  <w:num w:numId="13">
    <w:abstractNumId w:val="8"/>
  </w:num>
  <w:num w:numId="14">
    <w:abstractNumId w:val="5"/>
  </w:num>
  <w:num w:numId="15">
    <w:abstractNumId w:val="1"/>
  </w:num>
  <w:num w:numId="16">
    <w:abstractNumId w:val="6"/>
  </w:num>
  <w:num w:numId="17">
    <w:abstractNumId w:val="2"/>
  </w:num>
  <w:num w:numId="18">
    <w:abstractNumId w:val="15"/>
  </w:num>
  <w:num w:numId="19">
    <w:abstractNumId w:val="11"/>
  </w:num>
  <w:num w:numId="20">
    <w:abstractNumId w:val="19"/>
  </w:num>
  <w:num w:numId="21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C10"/>
    <w:rsid w:val="00000AB5"/>
    <w:rsid w:val="00013EC5"/>
    <w:rsid w:val="00024F96"/>
    <w:rsid w:val="000319C0"/>
    <w:rsid w:val="0004355E"/>
    <w:rsid w:val="00050504"/>
    <w:rsid w:val="000537FF"/>
    <w:rsid w:val="00057CCC"/>
    <w:rsid w:val="00064AFC"/>
    <w:rsid w:val="0006747A"/>
    <w:rsid w:val="00093670"/>
    <w:rsid w:val="000940F3"/>
    <w:rsid w:val="000A2550"/>
    <w:rsid w:val="000B407C"/>
    <w:rsid w:val="000B4871"/>
    <w:rsid w:val="000C0AD2"/>
    <w:rsid w:val="000C5B7D"/>
    <w:rsid w:val="000C5C9C"/>
    <w:rsid w:val="000D15CF"/>
    <w:rsid w:val="000D3353"/>
    <w:rsid w:val="000E1DAF"/>
    <w:rsid w:val="001011DD"/>
    <w:rsid w:val="00103321"/>
    <w:rsid w:val="00115C16"/>
    <w:rsid w:val="00117721"/>
    <w:rsid w:val="00123A79"/>
    <w:rsid w:val="00137A59"/>
    <w:rsid w:val="00143795"/>
    <w:rsid w:val="00150AF4"/>
    <w:rsid w:val="00154E62"/>
    <w:rsid w:val="00157F8B"/>
    <w:rsid w:val="001717FE"/>
    <w:rsid w:val="00175170"/>
    <w:rsid w:val="001766BE"/>
    <w:rsid w:val="00187CD4"/>
    <w:rsid w:val="001912E2"/>
    <w:rsid w:val="001A14BA"/>
    <w:rsid w:val="001A17DF"/>
    <w:rsid w:val="001A29B7"/>
    <w:rsid w:val="001A5D11"/>
    <w:rsid w:val="001B2739"/>
    <w:rsid w:val="001B3890"/>
    <w:rsid w:val="001B75D5"/>
    <w:rsid w:val="001C0423"/>
    <w:rsid w:val="001C49E0"/>
    <w:rsid w:val="001D3593"/>
    <w:rsid w:val="001F0603"/>
    <w:rsid w:val="00201114"/>
    <w:rsid w:val="002016D9"/>
    <w:rsid w:val="00202D3B"/>
    <w:rsid w:val="002122BA"/>
    <w:rsid w:val="00224A17"/>
    <w:rsid w:val="00230BA4"/>
    <w:rsid w:val="002313B1"/>
    <w:rsid w:val="002529E0"/>
    <w:rsid w:val="00252A44"/>
    <w:rsid w:val="00286FC8"/>
    <w:rsid w:val="00290679"/>
    <w:rsid w:val="002A423D"/>
    <w:rsid w:val="002A77D1"/>
    <w:rsid w:val="002B187B"/>
    <w:rsid w:val="002B5D2B"/>
    <w:rsid w:val="002C37F8"/>
    <w:rsid w:val="002D2EF5"/>
    <w:rsid w:val="002E1CF5"/>
    <w:rsid w:val="002E1F5E"/>
    <w:rsid w:val="002F057A"/>
    <w:rsid w:val="002F3AB7"/>
    <w:rsid w:val="002F4161"/>
    <w:rsid w:val="00324479"/>
    <w:rsid w:val="00330914"/>
    <w:rsid w:val="00350024"/>
    <w:rsid w:val="00357614"/>
    <w:rsid w:val="00363B8E"/>
    <w:rsid w:val="00364EAE"/>
    <w:rsid w:val="00367BB7"/>
    <w:rsid w:val="00381554"/>
    <w:rsid w:val="003816A5"/>
    <w:rsid w:val="00384679"/>
    <w:rsid w:val="00384F48"/>
    <w:rsid w:val="00393FF1"/>
    <w:rsid w:val="003B4198"/>
    <w:rsid w:val="003B4BD9"/>
    <w:rsid w:val="003D0F39"/>
    <w:rsid w:val="003D6220"/>
    <w:rsid w:val="003E2238"/>
    <w:rsid w:val="003E3C45"/>
    <w:rsid w:val="003E4399"/>
    <w:rsid w:val="00404140"/>
    <w:rsid w:val="00412E4E"/>
    <w:rsid w:val="00421097"/>
    <w:rsid w:val="00437CAB"/>
    <w:rsid w:val="00442405"/>
    <w:rsid w:val="00442F72"/>
    <w:rsid w:val="004547CB"/>
    <w:rsid w:val="00454E86"/>
    <w:rsid w:val="004825D4"/>
    <w:rsid w:val="00491722"/>
    <w:rsid w:val="00493886"/>
    <w:rsid w:val="004963B2"/>
    <w:rsid w:val="004C7F87"/>
    <w:rsid w:val="004D2325"/>
    <w:rsid w:val="004D23E0"/>
    <w:rsid w:val="004E10E3"/>
    <w:rsid w:val="004F4A7D"/>
    <w:rsid w:val="004F772E"/>
    <w:rsid w:val="00507E45"/>
    <w:rsid w:val="00544510"/>
    <w:rsid w:val="00564E61"/>
    <w:rsid w:val="00565658"/>
    <w:rsid w:val="0056698F"/>
    <w:rsid w:val="00590502"/>
    <w:rsid w:val="005A784D"/>
    <w:rsid w:val="005B169C"/>
    <w:rsid w:val="005B72C5"/>
    <w:rsid w:val="005C6C10"/>
    <w:rsid w:val="005E3F24"/>
    <w:rsid w:val="005F1EDB"/>
    <w:rsid w:val="0060478F"/>
    <w:rsid w:val="006249ED"/>
    <w:rsid w:val="00624D11"/>
    <w:rsid w:val="0063224D"/>
    <w:rsid w:val="00635A60"/>
    <w:rsid w:val="00636DEF"/>
    <w:rsid w:val="00641E68"/>
    <w:rsid w:val="0064626D"/>
    <w:rsid w:val="0064674C"/>
    <w:rsid w:val="0065321C"/>
    <w:rsid w:val="00656CBD"/>
    <w:rsid w:val="00680670"/>
    <w:rsid w:val="00695701"/>
    <w:rsid w:val="006A5886"/>
    <w:rsid w:val="006B6AC7"/>
    <w:rsid w:val="006E11C1"/>
    <w:rsid w:val="006F42F9"/>
    <w:rsid w:val="00704D2D"/>
    <w:rsid w:val="00716FFE"/>
    <w:rsid w:val="00722B4C"/>
    <w:rsid w:val="00722B4D"/>
    <w:rsid w:val="0072321F"/>
    <w:rsid w:val="007241B0"/>
    <w:rsid w:val="007250DB"/>
    <w:rsid w:val="007547DB"/>
    <w:rsid w:val="00767F2E"/>
    <w:rsid w:val="007768A6"/>
    <w:rsid w:val="007774A5"/>
    <w:rsid w:val="00785E90"/>
    <w:rsid w:val="007A4D05"/>
    <w:rsid w:val="007B7679"/>
    <w:rsid w:val="007C172D"/>
    <w:rsid w:val="007C193F"/>
    <w:rsid w:val="007D1404"/>
    <w:rsid w:val="007E311B"/>
    <w:rsid w:val="008306F9"/>
    <w:rsid w:val="008467CE"/>
    <w:rsid w:val="008470A2"/>
    <w:rsid w:val="0085423A"/>
    <w:rsid w:val="0085558C"/>
    <w:rsid w:val="008574F5"/>
    <w:rsid w:val="00865285"/>
    <w:rsid w:val="00865AB1"/>
    <w:rsid w:val="008A35E4"/>
    <w:rsid w:val="008A6710"/>
    <w:rsid w:val="008A7F85"/>
    <w:rsid w:val="008C1A72"/>
    <w:rsid w:val="008C4280"/>
    <w:rsid w:val="008C7539"/>
    <w:rsid w:val="008D6CFA"/>
    <w:rsid w:val="008E7A5F"/>
    <w:rsid w:val="00913805"/>
    <w:rsid w:val="00914537"/>
    <w:rsid w:val="0092501E"/>
    <w:rsid w:val="00926228"/>
    <w:rsid w:val="00936469"/>
    <w:rsid w:val="00947A5C"/>
    <w:rsid w:val="00962EB3"/>
    <w:rsid w:val="00964FAC"/>
    <w:rsid w:val="00973555"/>
    <w:rsid w:val="0098189F"/>
    <w:rsid w:val="0098306F"/>
    <w:rsid w:val="00992785"/>
    <w:rsid w:val="009A577C"/>
    <w:rsid w:val="009A72E5"/>
    <w:rsid w:val="009B64F5"/>
    <w:rsid w:val="009B7C85"/>
    <w:rsid w:val="009E36B6"/>
    <w:rsid w:val="009F1579"/>
    <w:rsid w:val="00A13A93"/>
    <w:rsid w:val="00A14F70"/>
    <w:rsid w:val="00A167FF"/>
    <w:rsid w:val="00A35CF2"/>
    <w:rsid w:val="00A41CE7"/>
    <w:rsid w:val="00A4217F"/>
    <w:rsid w:val="00A52D87"/>
    <w:rsid w:val="00A534DB"/>
    <w:rsid w:val="00A74807"/>
    <w:rsid w:val="00A74E51"/>
    <w:rsid w:val="00A87097"/>
    <w:rsid w:val="00AA1354"/>
    <w:rsid w:val="00AB239A"/>
    <w:rsid w:val="00AC3022"/>
    <w:rsid w:val="00AD7ECC"/>
    <w:rsid w:val="00AE27D9"/>
    <w:rsid w:val="00AE6344"/>
    <w:rsid w:val="00AE7F05"/>
    <w:rsid w:val="00B003AA"/>
    <w:rsid w:val="00B059F0"/>
    <w:rsid w:val="00B1574E"/>
    <w:rsid w:val="00B167A0"/>
    <w:rsid w:val="00B259DE"/>
    <w:rsid w:val="00B439DA"/>
    <w:rsid w:val="00B44FEF"/>
    <w:rsid w:val="00B463AE"/>
    <w:rsid w:val="00B50340"/>
    <w:rsid w:val="00B521E3"/>
    <w:rsid w:val="00B656AA"/>
    <w:rsid w:val="00B65BB0"/>
    <w:rsid w:val="00B670D2"/>
    <w:rsid w:val="00B7134F"/>
    <w:rsid w:val="00B81BFE"/>
    <w:rsid w:val="00B86E2A"/>
    <w:rsid w:val="00BF0FE0"/>
    <w:rsid w:val="00BF194E"/>
    <w:rsid w:val="00BF5E4B"/>
    <w:rsid w:val="00C038A5"/>
    <w:rsid w:val="00C23C16"/>
    <w:rsid w:val="00C325A2"/>
    <w:rsid w:val="00C340F1"/>
    <w:rsid w:val="00C3433B"/>
    <w:rsid w:val="00C44361"/>
    <w:rsid w:val="00C447B1"/>
    <w:rsid w:val="00C556B8"/>
    <w:rsid w:val="00C766FD"/>
    <w:rsid w:val="00C91EFA"/>
    <w:rsid w:val="00C96AA4"/>
    <w:rsid w:val="00CA0956"/>
    <w:rsid w:val="00CA5E81"/>
    <w:rsid w:val="00CA5EEC"/>
    <w:rsid w:val="00CB0A80"/>
    <w:rsid w:val="00CD7A16"/>
    <w:rsid w:val="00CE5FE5"/>
    <w:rsid w:val="00CE738B"/>
    <w:rsid w:val="00CF47C7"/>
    <w:rsid w:val="00CF6FEA"/>
    <w:rsid w:val="00D10032"/>
    <w:rsid w:val="00D139C9"/>
    <w:rsid w:val="00D20C5B"/>
    <w:rsid w:val="00D341F7"/>
    <w:rsid w:val="00D36B28"/>
    <w:rsid w:val="00D51F47"/>
    <w:rsid w:val="00D61770"/>
    <w:rsid w:val="00D72900"/>
    <w:rsid w:val="00D81894"/>
    <w:rsid w:val="00D82004"/>
    <w:rsid w:val="00D83DF6"/>
    <w:rsid w:val="00D847C5"/>
    <w:rsid w:val="00D854EE"/>
    <w:rsid w:val="00D85FCA"/>
    <w:rsid w:val="00DA0460"/>
    <w:rsid w:val="00DA0A1C"/>
    <w:rsid w:val="00DB0569"/>
    <w:rsid w:val="00DB1769"/>
    <w:rsid w:val="00DC04D4"/>
    <w:rsid w:val="00DC1F5B"/>
    <w:rsid w:val="00DD3197"/>
    <w:rsid w:val="00DE24DE"/>
    <w:rsid w:val="00DE7EA2"/>
    <w:rsid w:val="00DF1827"/>
    <w:rsid w:val="00DF4AC8"/>
    <w:rsid w:val="00E102B1"/>
    <w:rsid w:val="00E135F9"/>
    <w:rsid w:val="00E15439"/>
    <w:rsid w:val="00E272B8"/>
    <w:rsid w:val="00E35D4D"/>
    <w:rsid w:val="00E40952"/>
    <w:rsid w:val="00E40A92"/>
    <w:rsid w:val="00E556C4"/>
    <w:rsid w:val="00E7625E"/>
    <w:rsid w:val="00E80149"/>
    <w:rsid w:val="00E835E8"/>
    <w:rsid w:val="00E84EEB"/>
    <w:rsid w:val="00EB24C9"/>
    <w:rsid w:val="00EB2B56"/>
    <w:rsid w:val="00EB3AD8"/>
    <w:rsid w:val="00EB49CF"/>
    <w:rsid w:val="00EC205F"/>
    <w:rsid w:val="00ED59A3"/>
    <w:rsid w:val="00EF76A8"/>
    <w:rsid w:val="00F011BC"/>
    <w:rsid w:val="00F06A7E"/>
    <w:rsid w:val="00F13528"/>
    <w:rsid w:val="00F2280A"/>
    <w:rsid w:val="00F34DDD"/>
    <w:rsid w:val="00F56A1B"/>
    <w:rsid w:val="00F6748B"/>
    <w:rsid w:val="00F71E82"/>
    <w:rsid w:val="00F76AD8"/>
    <w:rsid w:val="00F80460"/>
    <w:rsid w:val="00F8328D"/>
    <w:rsid w:val="00F903D9"/>
    <w:rsid w:val="00F92AB8"/>
    <w:rsid w:val="00FA2132"/>
    <w:rsid w:val="00FB0149"/>
    <w:rsid w:val="00FC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F52A5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F39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64AF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64AFC"/>
  </w:style>
  <w:style w:type="character" w:styleId="Hyperlink">
    <w:name w:val="Hyperlink"/>
    <w:basedOn w:val="DefaultParagraphFont"/>
    <w:rsid w:val="00B463AE"/>
    <w:rPr>
      <w:color w:val="0000FF"/>
      <w:u w:val="single"/>
    </w:rPr>
  </w:style>
  <w:style w:type="paragraph" w:customStyle="1" w:styleId="DefaultParagraphFontPara">
    <w:name w:val="Default Paragraph Font Para"/>
    <w:basedOn w:val="Normal"/>
    <w:rsid w:val="003D0F39"/>
    <w:rPr>
      <w:rFonts w:ascii="Arial" w:hAnsi="Arial" w:cs="Arial"/>
      <w:szCs w:val="24"/>
    </w:rPr>
  </w:style>
  <w:style w:type="character" w:styleId="FollowedHyperlink">
    <w:name w:val="FollowedHyperlink"/>
    <w:basedOn w:val="DefaultParagraphFont"/>
    <w:rsid w:val="0056698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1C0423"/>
    <w:pPr>
      <w:ind w:left="720"/>
      <w:contextualSpacing/>
    </w:pPr>
  </w:style>
  <w:style w:type="table" w:styleId="TableGrid">
    <w:name w:val="Table Grid"/>
    <w:basedOn w:val="TableNormal"/>
    <w:rsid w:val="00013E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FA2132"/>
    <w:rPr>
      <w:sz w:val="16"/>
      <w:szCs w:val="16"/>
    </w:rPr>
  </w:style>
  <w:style w:type="paragraph" w:styleId="CommentText">
    <w:name w:val="annotation text"/>
    <w:basedOn w:val="Normal"/>
    <w:link w:val="CommentTextChar"/>
    <w:rsid w:val="00FA213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A213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A21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A2132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FA21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A2132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1D35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D3593"/>
    <w:rPr>
      <w:sz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D3353"/>
    <w:rPr>
      <w:sz w:val="24"/>
      <w:lang w:eastAsia="en-US"/>
    </w:rPr>
  </w:style>
  <w:style w:type="paragraph" w:styleId="Revision">
    <w:name w:val="Revision"/>
    <w:hidden/>
    <w:uiPriority w:val="99"/>
    <w:semiHidden/>
    <w:rsid w:val="00BF5E4B"/>
    <w:rPr>
      <w:sz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57614"/>
    <w:pPr>
      <w:spacing w:before="100" w:beforeAutospacing="1" w:after="100" w:afterAutospacing="1"/>
    </w:pPr>
    <w:rPr>
      <w:rFonts w:eastAsiaTheme="minorEastAsia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F39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64AF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64AFC"/>
  </w:style>
  <w:style w:type="character" w:styleId="Hyperlink">
    <w:name w:val="Hyperlink"/>
    <w:basedOn w:val="DefaultParagraphFont"/>
    <w:rsid w:val="00B463AE"/>
    <w:rPr>
      <w:color w:val="0000FF"/>
      <w:u w:val="single"/>
    </w:rPr>
  </w:style>
  <w:style w:type="paragraph" w:customStyle="1" w:styleId="DefaultParagraphFontPara">
    <w:name w:val="Default Paragraph Font Para"/>
    <w:basedOn w:val="Normal"/>
    <w:rsid w:val="003D0F39"/>
    <w:rPr>
      <w:rFonts w:ascii="Arial" w:hAnsi="Arial" w:cs="Arial"/>
      <w:szCs w:val="24"/>
    </w:rPr>
  </w:style>
  <w:style w:type="character" w:styleId="FollowedHyperlink">
    <w:name w:val="FollowedHyperlink"/>
    <w:basedOn w:val="DefaultParagraphFont"/>
    <w:rsid w:val="0056698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1C0423"/>
    <w:pPr>
      <w:ind w:left="720"/>
      <w:contextualSpacing/>
    </w:pPr>
  </w:style>
  <w:style w:type="table" w:styleId="TableGrid">
    <w:name w:val="Table Grid"/>
    <w:basedOn w:val="TableNormal"/>
    <w:rsid w:val="00013E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FA2132"/>
    <w:rPr>
      <w:sz w:val="16"/>
      <w:szCs w:val="16"/>
    </w:rPr>
  </w:style>
  <w:style w:type="paragraph" w:styleId="CommentText">
    <w:name w:val="annotation text"/>
    <w:basedOn w:val="Normal"/>
    <w:link w:val="CommentTextChar"/>
    <w:rsid w:val="00FA213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A213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A21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A2132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FA21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A2132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1D35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D3593"/>
    <w:rPr>
      <w:sz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D3353"/>
    <w:rPr>
      <w:sz w:val="24"/>
      <w:lang w:eastAsia="en-US"/>
    </w:rPr>
  </w:style>
  <w:style w:type="paragraph" w:styleId="Revision">
    <w:name w:val="Revision"/>
    <w:hidden/>
    <w:uiPriority w:val="99"/>
    <w:semiHidden/>
    <w:rsid w:val="00BF5E4B"/>
    <w:rPr>
      <w:sz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57614"/>
    <w:pPr>
      <w:spacing w:before="100" w:beforeAutospacing="1" w:after="100" w:afterAutospacing="1"/>
    </w:pPr>
    <w:rPr>
      <w:rFonts w:eastAsiaTheme="minorEastAsia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f.mitchell@ecu.edu.a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cu.edu.au/GPPS/ethics/human_ethics_committee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cu.edu.au/GPPS/ppas/strategic_plan.htm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PQESCSupport@ecu.edu.a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l.baars-scotney@ecu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DC284-3893-49CC-BC5C-A8AB56E0C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726</Words>
  <Characters>4703</Characters>
  <Application>Microsoft Office Word</Application>
  <DocSecurity>4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GUIDELINES FOR APPLICATION FOR HIGHER EDUCATION EQUITY SUPPORT PROGRAM FUNDING 2006</vt:lpstr>
    </vt:vector>
  </TitlesOfParts>
  <Company>Edith Cowan University</Company>
  <LinksUpToDate>false</LinksUpToDate>
  <CharactersWithSpaces>5419</CharactersWithSpaces>
  <SharedDoc>false</SharedDoc>
  <HLinks>
    <vt:vector size="24" baseType="variant">
      <vt:variant>
        <vt:i4>2949183</vt:i4>
      </vt:variant>
      <vt:variant>
        <vt:i4>9</vt:i4>
      </vt:variant>
      <vt:variant>
        <vt:i4>0</vt:i4>
      </vt:variant>
      <vt:variant>
        <vt:i4>5</vt:i4>
      </vt:variant>
      <vt:variant>
        <vt:lpwstr>http://www.ecu.edu.au/equ/heesp</vt:lpwstr>
      </vt:variant>
      <vt:variant>
        <vt:lpwstr/>
      </vt:variant>
      <vt:variant>
        <vt:i4>1638435</vt:i4>
      </vt:variant>
      <vt:variant>
        <vt:i4>6</vt:i4>
      </vt:variant>
      <vt:variant>
        <vt:i4>0</vt:i4>
      </vt:variant>
      <vt:variant>
        <vt:i4>5</vt:i4>
      </vt:variant>
      <vt:variant>
        <vt:lpwstr>http://www.ecu.edu.au/GPPS/ppas/strategic_plan.html</vt:lpwstr>
      </vt:variant>
      <vt:variant>
        <vt:lpwstr/>
      </vt:variant>
      <vt:variant>
        <vt:i4>2949183</vt:i4>
      </vt:variant>
      <vt:variant>
        <vt:i4>3</vt:i4>
      </vt:variant>
      <vt:variant>
        <vt:i4>0</vt:i4>
      </vt:variant>
      <vt:variant>
        <vt:i4>5</vt:i4>
      </vt:variant>
      <vt:variant>
        <vt:lpwstr>http://www.ecu.edu.au/equ/heesp</vt:lpwstr>
      </vt:variant>
      <vt:variant>
        <vt:lpwstr/>
      </vt:variant>
      <vt:variant>
        <vt:i4>1703940</vt:i4>
      </vt:variant>
      <vt:variant>
        <vt:i4>0</vt:i4>
      </vt:variant>
      <vt:variant>
        <vt:i4>0</vt:i4>
      </vt:variant>
      <vt:variant>
        <vt:i4>5</vt:i4>
      </vt:variant>
      <vt:variant>
        <vt:lpwstr>http://www.ecu.edu.au/GPPS/ethics/index.html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FOR APPLICATION FOR HIGHER EDUCATION EQUITY SUPPORT PROGRAM FUNDING 2006</dc:title>
  <dc:creator>vward0</dc:creator>
  <cp:lastModifiedBy>fmitchel</cp:lastModifiedBy>
  <cp:revision>2</cp:revision>
  <cp:lastPrinted>2015-01-16T03:07:00Z</cp:lastPrinted>
  <dcterms:created xsi:type="dcterms:W3CDTF">2015-02-11T04:13:00Z</dcterms:created>
  <dcterms:modified xsi:type="dcterms:W3CDTF">2015-02-11T04:13:00Z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